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A9F5" w14:textId="2873225D" w:rsidR="004C7EF4" w:rsidRPr="004C7EF4" w:rsidRDefault="004C7EF4" w:rsidP="004C7EF4">
      <w:pPr>
        <w:jc w:val="center"/>
        <w:rPr>
          <w:b/>
          <w:bCs/>
        </w:rPr>
      </w:pPr>
      <w:r>
        <w:rPr>
          <w:b/>
          <w:bCs/>
        </w:rPr>
        <w:t xml:space="preserve">TREATMENT </w:t>
      </w:r>
      <w:r w:rsidRPr="004C7EF4">
        <w:rPr>
          <w:b/>
          <w:bCs/>
        </w:rPr>
        <w:t>INTAKE REPORT</w:t>
      </w:r>
    </w:p>
    <w:p w14:paraId="1EE4E88A" w14:textId="7F260EEB" w:rsidR="004C7EF4" w:rsidRDefault="004C7EF4" w:rsidP="004C7EF4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145"/>
        <w:gridCol w:w="1080"/>
        <w:gridCol w:w="2160"/>
        <w:gridCol w:w="2062"/>
      </w:tblGrid>
      <w:tr w:rsidR="004C7EF4" w14:paraId="7CDD09D6" w14:textId="77777777" w:rsidTr="004C7EF4">
        <w:tc>
          <w:tcPr>
            <w:tcW w:w="897" w:type="dxa"/>
          </w:tcPr>
          <w:p w14:paraId="46B8CC9C" w14:textId="29642623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Name:</w:t>
            </w:r>
          </w:p>
        </w:tc>
        <w:tc>
          <w:tcPr>
            <w:tcW w:w="3145" w:type="dxa"/>
          </w:tcPr>
          <w:p w14:paraId="3A8E589C" w14:textId="77777777" w:rsidR="004C7EF4" w:rsidRPr="00321E50" w:rsidRDefault="004C7EF4" w:rsidP="004C7EF4">
            <w:pPr>
              <w:spacing w:after="240"/>
              <w:rPr>
                <w:highlight w:val="yellow"/>
              </w:rPr>
            </w:pPr>
          </w:p>
        </w:tc>
        <w:tc>
          <w:tcPr>
            <w:tcW w:w="3240" w:type="dxa"/>
            <w:gridSpan w:val="2"/>
          </w:tcPr>
          <w:p w14:paraId="01EA2DA5" w14:textId="3557EC65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Date of Intake Appointment:</w:t>
            </w:r>
          </w:p>
        </w:tc>
        <w:tc>
          <w:tcPr>
            <w:tcW w:w="2062" w:type="dxa"/>
          </w:tcPr>
          <w:p w14:paraId="0FE5C5AC" w14:textId="11FDAF64" w:rsidR="004C7EF4" w:rsidRPr="00321E50" w:rsidRDefault="00826C07" w:rsidP="004C7EF4">
            <w:pPr>
              <w:spacing w:after="240"/>
              <w:rPr>
                <w:highlight w:val="yellow"/>
              </w:rPr>
            </w:pPr>
            <w:r w:rsidRPr="00321E50">
              <w:rPr>
                <w:highlight w:val="yellow"/>
              </w:rPr>
              <w:t>#/##/####</w:t>
            </w:r>
          </w:p>
        </w:tc>
      </w:tr>
      <w:tr w:rsidR="004C7EF4" w14:paraId="6EBCBDD6" w14:textId="77777777" w:rsidTr="004C7EF4">
        <w:tc>
          <w:tcPr>
            <w:tcW w:w="897" w:type="dxa"/>
          </w:tcPr>
          <w:p w14:paraId="46CF49FB" w14:textId="5FC7BB60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ID #:</w:t>
            </w:r>
          </w:p>
        </w:tc>
        <w:tc>
          <w:tcPr>
            <w:tcW w:w="3145" w:type="dxa"/>
          </w:tcPr>
          <w:p w14:paraId="19560A1D" w14:textId="77777777" w:rsidR="004C7EF4" w:rsidRPr="00321E50" w:rsidRDefault="004C7EF4" w:rsidP="004C7EF4">
            <w:pPr>
              <w:spacing w:after="240"/>
              <w:rPr>
                <w:highlight w:val="yellow"/>
              </w:rPr>
            </w:pPr>
          </w:p>
        </w:tc>
        <w:tc>
          <w:tcPr>
            <w:tcW w:w="3240" w:type="dxa"/>
            <w:gridSpan w:val="2"/>
          </w:tcPr>
          <w:p w14:paraId="14CEAB8B" w14:textId="2B51B0D7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Date Report Completed:</w:t>
            </w:r>
          </w:p>
        </w:tc>
        <w:tc>
          <w:tcPr>
            <w:tcW w:w="2062" w:type="dxa"/>
          </w:tcPr>
          <w:p w14:paraId="57979F07" w14:textId="05D86BE8" w:rsidR="004C7EF4" w:rsidRPr="00321E50" w:rsidRDefault="00826C07" w:rsidP="004C7EF4">
            <w:pPr>
              <w:spacing w:after="240"/>
              <w:rPr>
                <w:highlight w:val="yellow"/>
              </w:rPr>
            </w:pPr>
            <w:r w:rsidRPr="00321E50">
              <w:rPr>
                <w:highlight w:val="yellow"/>
              </w:rPr>
              <w:t>#/##/####</w:t>
            </w:r>
          </w:p>
        </w:tc>
      </w:tr>
      <w:tr w:rsidR="004C7EF4" w14:paraId="4EA7FE44" w14:textId="77777777" w:rsidTr="004C7EF4">
        <w:tc>
          <w:tcPr>
            <w:tcW w:w="4042" w:type="dxa"/>
            <w:gridSpan w:val="2"/>
          </w:tcPr>
          <w:p w14:paraId="3AAF42CA" w14:textId="77777777" w:rsidR="004C7EF4" w:rsidRPr="00321E50" w:rsidRDefault="004C7EF4" w:rsidP="004C7EF4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70A2006C" w14:textId="3701EC01" w:rsidR="004C7EF4" w:rsidRPr="00321E50" w:rsidRDefault="004C7EF4" w:rsidP="004C7EF4">
            <w:pPr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Author:</w:t>
            </w:r>
          </w:p>
        </w:tc>
        <w:tc>
          <w:tcPr>
            <w:tcW w:w="4222" w:type="dxa"/>
            <w:gridSpan w:val="2"/>
          </w:tcPr>
          <w:p w14:paraId="11F71331" w14:textId="77777777" w:rsidR="004C7EF4" w:rsidRPr="00321E50" w:rsidRDefault="004C7EF4" w:rsidP="004C7EF4">
            <w:pPr>
              <w:rPr>
                <w:highlight w:val="yellow"/>
              </w:rPr>
            </w:pPr>
          </w:p>
        </w:tc>
      </w:tr>
    </w:tbl>
    <w:p w14:paraId="33445B77" w14:textId="40F04616" w:rsidR="00400419" w:rsidRDefault="00400419" w:rsidP="004C7EF4"/>
    <w:p w14:paraId="5CBD90E8" w14:textId="0F5FF88A" w:rsidR="004C7EF4" w:rsidRPr="004C7EF4" w:rsidRDefault="004C7EF4" w:rsidP="004C7EF4">
      <w:pPr>
        <w:rPr>
          <w:b/>
          <w:bCs/>
        </w:rPr>
      </w:pPr>
      <w:r w:rsidRPr="004C7EF4">
        <w:rPr>
          <w:b/>
          <w:bCs/>
        </w:rPr>
        <w:t>Background Information</w:t>
      </w:r>
    </w:p>
    <w:p w14:paraId="6FCE8EE3" w14:textId="68AE1D07" w:rsidR="004C7EF4" w:rsidRDefault="004C7EF4" w:rsidP="004C7EF4"/>
    <w:p w14:paraId="66EA0369" w14:textId="344CE173" w:rsidR="00826C07" w:rsidRDefault="009152E8" w:rsidP="004C7EF4">
      <w:r w:rsidRPr="00321E50">
        <w:rPr>
          <w:highlight w:val="yellow"/>
        </w:rPr>
        <w:t>Mr.</w:t>
      </w:r>
      <w:r>
        <w:t xml:space="preserve"> </w:t>
      </w:r>
      <w:r w:rsidR="00CE0355">
        <w:t xml:space="preserve">[hereinafter </w:t>
      </w:r>
      <w:r w:rsidR="00DF748B">
        <w:t xml:space="preserve">the </w:t>
      </w:r>
      <w:r w:rsidR="00CE0355" w:rsidRPr="00CE0355">
        <w:rPr>
          <w:i/>
          <w:iCs/>
        </w:rPr>
        <w:t>client</w:t>
      </w:r>
      <w:r w:rsidR="00CE0355">
        <w:t xml:space="preserve">] </w:t>
      </w:r>
      <w:proofErr w:type="gramStart"/>
      <w:r>
        <w:t>was referred</w:t>
      </w:r>
      <w:proofErr w:type="gramEnd"/>
      <w:r>
        <w:t xml:space="preserve"> </w:t>
      </w:r>
      <w:r w:rsidR="00370EE3">
        <w:t xml:space="preserve">by </w:t>
      </w:r>
      <w:r w:rsidR="006B0092" w:rsidRPr="006B0092">
        <w:rPr>
          <w:highlight w:val="yellow"/>
        </w:rPr>
        <w:t>[court]</w:t>
      </w:r>
      <w:r w:rsidR="00370EE3">
        <w:t xml:space="preserve"> </w:t>
      </w:r>
      <w:r>
        <w:t>to the Montclair State University</w:t>
      </w:r>
      <w:r w:rsidR="00370EE3">
        <w:t xml:space="preserve"> (MSU)</w:t>
      </w:r>
      <w:r>
        <w:t xml:space="preserve"> </w:t>
      </w:r>
      <w:r w:rsidR="006B0092">
        <w:t>Telehealth Dialectical</w:t>
      </w:r>
      <w:r>
        <w:t xml:space="preserve"> Behavioral</w:t>
      </w:r>
      <w:r w:rsidR="006B0092">
        <w:t xml:space="preserve"> Therapy (DBT)</w:t>
      </w:r>
      <w:r>
        <w:t xml:space="preserve"> </w:t>
      </w:r>
      <w:r w:rsidR="006B0092">
        <w:t>Individual Skills Training</w:t>
      </w:r>
      <w:r>
        <w:t xml:space="preserve"> Program</w:t>
      </w:r>
      <w:r w:rsidR="006B0092">
        <w:t xml:space="preserve"> [hereinafter the </w:t>
      </w:r>
      <w:r w:rsidR="006B0092" w:rsidRPr="006B0092">
        <w:rPr>
          <w:i/>
          <w:iCs/>
        </w:rPr>
        <w:t>program</w:t>
      </w:r>
      <w:r w:rsidR="006B0092">
        <w:t>]</w:t>
      </w:r>
      <w:r w:rsidR="00370EE3">
        <w:t xml:space="preserve">. </w:t>
      </w:r>
      <w:r w:rsidR="006B0092" w:rsidRPr="006B0092">
        <w:rPr>
          <w:highlight w:val="yellow"/>
        </w:rPr>
        <w:t>[Referral party descriptor]</w:t>
      </w:r>
      <w:r w:rsidR="00370EE3">
        <w:t xml:space="preserve">. The </w:t>
      </w:r>
      <w:r w:rsidR="006B0092">
        <w:t>program</w:t>
      </w:r>
      <w:r w:rsidR="00370EE3">
        <w:t xml:space="preserve"> offers individual sessions of </w:t>
      </w:r>
      <w:r w:rsidR="006B0092">
        <w:t>DBT</w:t>
      </w:r>
      <w:r w:rsidR="00370EE3">
        <w:t xml:space="preserve"> skills training</w:t>
      </w:r>
      <w:r w:rsidR="006B0092">
        <w:t xml:space="preserve"> via remote communication technologies</w:t>
      </w:r>
      <w:r w:rsidR="007B3D28">
        <w:t xml:space="preserve"> to participants in the court.</w:t>
      </w:r>
    </w:p>
    <w:p w14:paraId="0599E3B3" w14:textId="77777777" w:rsidR="00826C07" w:rsidRDefault="00826C07" w:rsidP="004C7EF4"/>
    <w:p w14:paraId="4DA5DD0B" w14:textId="0B1C4E50" w:rsidR="00321E50" w:rsidRPr="00CB061B" w:rsidRDefault="00370EE3" w:rsidP="00CB061B">
      <w:r>
        <w:t>Court</w:t>
      </w:r>
      <w:r w:rsidR="00826C07">
        <w:t xml:space="preserve"> staff provided </w:t>
      </w:r>
      <w:r w:rsidR="00661C78">
        <w:t>a</w:t>
      </w:r>
      <w:r w:rsidR="00826C07">
        <w:t xml:space="preserve"> collateral record concerning </w:t>
      </w:r>
      <w:r w:rsidR="00CE0355">
        <w:t>the client</w:t>
      </w:r>
      <w:r w:rsidR="00826C07">
        <w:t xml:space="preserve">, </w:t>
      </w:r>
      <w:r w:rsidR="00661C78" w:rsidRPr="00661C78">
        <w:rPr>
          <w:i/>
          <w:iCs/>
        </w:rPr>
        <w:t>Intake and Planning Form</w:t>
      </w:r>
      <w:r w:rsidR="00661C78">
        <w:t xml:space="preserve"> (dated </w:t>
      </w:r>
      <w:r w:rsidR="00661C78" w:rsidRPr="006B63A9">
        <w:rPr>
          <w:highlight w:val="yellow"/>
        </w:rPr>
        <w:t>#/##/####</w:t>
      </w:r>
      <w:r w:rsidR="00661C78">
        <w:t xml:space="preserve">), </w:t>
      </w:r>
      <w:r w:rsidR="00826C07">
        <w:t xml:space="preserve">which </w:t>
      </w:r>
      <w:r w:rsidR="0033170D">
        <w:t>I</w:t>
      </w:r>
      <w:r w:rsidR="00826C07">
        <w:t xml:space="preserve"> </w:t>
      </w:r>
      <w:r w:rsidR="00661C78">
        <w:t>reviewed.</w:t>
      </w:r>
      <w:r w:rsidR="00CB061B">
        <w:t xml:space="preserve"> </w:t>
      </w:r>
      <w:r w:rsidR="009152E8">
        <w:t xml:space="preserve">Prior to </w:t>
      </w:r>
      <w:r w:rsidR="006B63A9">
        <w:t>his intake</w:t>
      </w:r>
      <w:r w:rsidR="00826C07">
        <w:t xml:space="preserve"> </w:t>
      </w:r>
      <w:r w:rsidR="006B63A9">
        <w:t>assessment</w:t>
      </w:r>
      <w:r w:rsidR="009152E8">
        <w:t xml:space="preserve">, </w:t>
      </w:r>
      <w:r w:rsidR="0033170D">
        <w:t xml:space="preserve">the </w:t>
      </w:r>
      <w:r w:rsidR="00CE0355">
        <w:t xml:space="preserve">client </w:t>
      </w:r>
      <w:proofErr w:type="gramStart"/>
      <w:r w:rsidR="00826C07">
        <w:t>was provided</w:t>
      </w:r>
      <w:proofErr w:type="gramEnd"/>
      <w:r w:rsidR="00826C07">
        <w:t xml:space="preserve"> with, and returned signed copies, of the following forms:</w:t>
      </w:r>
      <w:r w:rsidR="00CB061B">
        <w:t xml:space="preserve"> </w:t>
      </w:r>
      <w:r w:rsidR="00661C78" w:rsidRPr="00CB061B">
        <w:rPr>
          <w:i/>
          <w:iCs/>
        </w:rPr>
        <w:t xml:space="preserve">MSU </w:t>
      </w:r>
      <w:r w:rsidR="006B0092">
        <w:rPr>
          <w:i/>
          <w:iCs/>
        </w:rPr>
        <w:t>Telehealth DBT</w:t>
      </w:r>
      <w:r w:rsidR="00661C78" w:rsidRPr="00CB061B">
        <w:rPr>
          <w:i/>
          <w:iCs/>
        </w:rPr>
        <w:t xml:space="preserve"> Program: Consent for Services</w:t>
      </w:r>
      <w:r w:rsidR="00755417">
        <w:t xml:space="preserve">; </w:t>
      </w:r>
      <w:r w:rsidR="00321E50">
        <w:t>and</w:t>
      </w:r>
      <w:r w:rsidR="00CB061B">
        <w:t xml:space="preserve"> </w:t>
      </w:r>
      <w:r w:rsidR="006B0092" w:rsidRPr="00CB061B">
        <w:rPr>
          <w:i/>
          <w:iCs/>
        </w:rPr>
        <w:t xml:space="preserve">MSU </w:t>
      </w:r>
      <w:r w:rsidR="006B0092">
        <w:rPr>
          <w:i/>
          <w:iCs/>
        </w:rPr>
        <w:t>Telehealth DBT</w:t>
      </w:r>
      <w:r w:rsidR="006B0092" w:rsidRPr="00CB061B">
        <w:rPr>
          <w:i/>
          <w:iCs/>
        </w:rPr>
        <w:t xml:space="preserve"> Program</w:t>
      </w:r>
      <w:r w:rsidR="00321E50" w:rsidRPr="006B63A9">
        <w:rPr>
          <w:i/>
          <w:iCs/>
        </w:rPr>
        <w:t>: Consent to Release Exchange Confidential Information for Participation</w:t>
      </w:r>
      <w:r w:rsidR="00321E50">
        <w:t>.</w:t>
      </w:r>
      <w:r w:rsidR="00CB061B">
        <w:t xml:space="preserve"> </w:t>
      </w:r>
      <w:r w:rsidR="00321E50">
        <w:t xml:space="preserve">He also completed the following forms, his answers to which </w:t>
      </w:r>
      <w:r w:rsidR="006B0092">
        <w:t xml:space="preserve">I </w:t>
      </w:r>
      <w:r w:rsidR="00321E50">
        <w:t>reviewed:</w:t>
      </w:r>
      <w:r w:rsidR="006B63A9">
        <w:t xml:space="preserve"> </w:t>
      </w:r>
      <w:r w:rsidR="00321E50" w:rsidRPr="006B63A9">
        <w:rPr>
          <w:i/>
          <w:iCs/>
        </w:rPr>
        <w:t>Client Information Form</w:t>
      </w:r>
      <w:r w:rsidR="00321E50" w:rsidRPr="006B63A9">
        <w:t>;</w:t>
      </w:r>
      <w:r w:rsidR="00CB061B" w:rsidRPr="006B63A9">
        <w:t xml:space="preserve"> </w:t>
      </w:r>
      <w:r w:rsidR="00321E50" w:rsidRPr="006B63A9">
        <w:rPr>
          <w:i/>
          <w:iCs/>
        </w:rPr>
        <w:t>Client Contacts Form</w:t>
      </w:r>
      <w:r w:rsidR="00321E50" w:rsidRPr="006B63A9">
        <w:t>; and</w:t>
      </w:r>
      <w:r w:rsidR="00CB061B" w:rsidRPr="006B63A9">
        <w:t xml:space="preserve"> </w:t>
      </w:r>
      <w:r w:rsidR="00321E50" w:rsidRPr="006B63A9">
        <w:rPr>
          <w:i/>
          <w:iCs/>
        </w:rPr>
        <w:t>Client History Form</w:t>
      </w:r>
      <w:r w:rsidR="00321E50" w:rsidRPr="006B63A9">
        <w:t>.</w:t>
      </w:r>
    </w:p>
    <w:p w14:paraId="62D1B8C3" w14:textId="77777777" w:rsidR="00321E50" w:rsidRDefault="00321E50" w:rsidP="004C7EF4"/>
    <w:p w14:paraId="44C59FC3" w14:textId="77554814" w:rsidR="00826C07" w:rsidRDefault="00826C07" w:rsidP="004C7EF4">
      <w:r>
        <w:t xml:space="preserve">During the intake session, on </w:t>
      </w:r>
      <w:r w:rsidRPr="00321E50">
        <w:rPr>
          <w:highlight w:val="yellow"/>
        </w:rPr>
        <w:t>#/##/####</w:t>
      </w:r>
      <w:r>
        <w:t xml:space="preserve">, </w:t>
      </w:r>
      <w:r w:rsidR="00395389">
        <w:t xml:space="preserve">I explained to the client </w:t>
      </w:r>
      <w:r>
        <w:t>the purpose of the appointment and treatment program, and the limits to confidentiality</w:t>
      </w:r>
      <w:r w:rsidR="00395389">
        <w:t xml:space="preserve">. </w:t>
      </w:r>
      <w:r>
        <w:t>He was able to accurately summarize this information and he provided verbal consent to proceed.</w:t>
      </w:r>
    </w:p>
    <w:p w14:paraId="327E7BEB" w14:textId="77777777" w:rsidR="00826C07" w:rsidRDefault="00826C07" w:rsidP="004C7EF4"/>
    <w:p w14:paraId="70F199A5" w14:textId="6BCB9A4E" w:rsidR="00FE2C2A" w:rsidRDefault="00395389" w:rsidP="00FE2C2A">
      <w:r>
        <w:t>I learned b</w:t>
      </w:r>
      <w:r w:rsidR="001A1B9F">
        <w:t xml:space="preserve">ackground information </w:t>
      </w:r>
      <w:r w:rsidR="00826C07">
        <w:t xml:space="preserve">about </w:t>
      </w:r>
      <w:r w:rsidR="00CE0355">
        <w:t>the client</w:t>
      </w:r>
      <w:r w:rsidR="00826C07">
        <w:t xml:space="preserve"> </w:t>
      </w:r>
      <w:r w:rsidR="001A1B9F">
        <w:t xml:space="preserve">via collateral records, </w:t>
      </w:r>
      <w:r w:rsidR="00321E50">
        <w:t>his</w:t>
      </w:r>
      <w:r w:rsidR="001A1B9F">
        <w:t xml:space="preserve"> responses to surveys, and </w:t>
      </w:r>
      <w:r w:rsidR="00DF748B">
        <w:t>an interview I conducted with him</w:t>
      </w:r>
      <w:r w:rsidR="001A1B9F">
        <w:t>.</w:t>
      </w:r>
      <w:r w:rsidR="00124BAA">
        <w:t xml:space="preserve"> </w:t>
      </w:r>
      <w:r w:rsidR="00CE0355">
        <w:t>The client</w:t>
      </w:r>
      <w:r w:rsidR="009152E8">
        <w:t xml:space="preserve"> is a</w:t>
      </w:r>
      <w:r w:rsidR="00826C07">
        <w:t xml:space="preserve"> </w:t>
      </w:r>
      <w:r w:rsidR="00826C07" w:rsidRPr="00124BAA">
        <w:rPr>
          <w:highlight w:val="yellow"/>
        </w:rPr>
        <w:t>. . .</w:t>
      </w:r>
      <w:r w:rsidR="00826C07">
        <w:t xml:space="preserve"> </w:t>
      </w:r>
      <w:r w:rsidR="00826C07" w:rsidRPr="006B63A9">
        <w:rPr>
          <w:highlight w:val="yellow"/>
        </w:rPr>
        <w:t>[demographics]</w:t>
      </w:r>
      <w:r w:rsidR="00DF748B">
        <w:t>.</w:t>
      </w:r>
      <w:r w:rsidR="00124BAA">
        <w:t xml:space="preserve"> </w:t>
      </w:r>
      <w:r w:rsidR="00826C07">
        <w:t xml:space="preserve">Regarding </w:t>
      </w:r>
      <w:r w:rsidR="00CE0355">
        <w:t>the client’s</w:t>
      </w:r>
      <w:r w:rsidR="00F212A9">
        <w:t xml:space="preserve"> childhood, family, and social history and current functioning, </w:t>
      </w:r>
      <w:r w:rsidR="00F212A9" w:rsidRPr="00124BAA">
        <w:rPr>
          <w:highlight w:val="yellow"/>
        </w:rPr>
        <w:t>. . .</w:t>
      </w:r>
      <w:r w:rsidR="00124BAA">
        <w:t xml:space="preserve"> </w:t>
      </w:r>
      <w:r w:rsidR="00826C07">
        <w:t xml:space="preserve">Regarding </w:t>
      </w:r>
      <w:r w:rsidR="00826C07" w:rsidRPr="00126D7F">
        <w:rPr>
          <w:highlight w:val="yellow"/>
        </w:rPr>
        <w:t>Mr. ’s</w:t>
      </w:r>
      <w:r w:rsidR="00826C07">
        <w:t xml:space="preserve"> employment history</w:t>
      </w:r>
      <w:r w:rsidR="00F212A9">
        <w:t xml:space="preserve"> and current functioning,</w:t>
      </w:r>
      <w:r w:rsidR="00826C07">
        <w:t xml:space="preserve"> </w:t>
      </w:r>
      <w:r w:rsidR="00826C07" w:rsidRPr="00124BAA">
        <w:rPr>
          <w:highlight w:val="yellow"/>
        </w:rPr>
        <w:t>. . .</w:t>
      </w:r>
      <w:r w:rsidR="00124BAA">
        <w:t xml:space="preserve"> </w:t>
      </w:r>
      <w:r w:rsidR="00F212A9">
        <w:t xml:space="preserve">Regarding </w:t>
      </w:r>
      <w:r w:rsidR="00CE0355">
        <w:t>the client’s</w:t>
      </w:r>
      <w:r w:rsidR="00F212A9">
        <w:t xml:space="preserve"> medical and mental health history and current functioning, </w:t>
      </w:r>
      <w:r w:rsidR="00F212A9" w:rsidRPr="00124BAA">
        <w:rPr>
          <w:highlight w:val="yellow"/>
        </w:rPr>
        <w:t>. . .</w:t>
      </w:r>
      <w:r w:rsidR="00124BAA">
        <w:t xml:space="preserve"> </w:t>
      </w:r>
      <w:r w:rsidR="00FE2C2A">
        <w:t xml:space="preserve">Regarding </w:t>
      </w:r>
      <w:r w:rsidR="00CE0355">
        <w:t>the client’s</w:t>
      </w:r>
      <w:r w:rsidR="00FE2C2A">
        <w:t xml:space="preserve"> alcohol and drug history and current functioning, </w:t>
      </w:r>
      <w:r w:rsidR="00FE2C2A" w:rsidRPr="00124BAA">
        <w:rPr>
          <w:highlight w:val="yellow"/>
        </w:rPr>
        <w:t>. . .</w:t>
      </w:r>
      <w:r w:rsidR="00124BAA">
        <w:t xml:space="preserve"> </w:t>
      </w:r>
      <w:r w:rsidR="00FE2C2A">
        <w:t xml:space="preserve">Regarding </w:t>
      </w:r>
      <w:r w:rsidR="00CE0355">
        <w:t>the client’s</w:t>
      </w:r>
      <w:r w:rsidR="00FE2C2A">
        <w:t xml:space="preserve"> </w:t>
      </w:r>
      <w:r w:rsidR="00755417">
        <w:t>legal history</w:t>
      </w:r>
      <w:r w:rsidR="00FE2C2A">
        <w:t xml:space="preserve">, </w:t>
      </w:r>
      <w:r w:rsidR="00FE2C2A" w:rsidRPr="00124BAA">
        <w:rPr>
          <w:highlight w:val="yellow"/>
        </w:rPr>
        <w:t>. . .</w:t>
      </w:r>
    </w:p>
    <w:p w14:paraId="21BB9111" w14:textId="33B8FCFD" w:rsidR="008A0FE3" w:rsidRDefault="008A0FE3" w:rsidP="00FE2C2A"/>
    <w:p w14:paraId="274E7258" w14:textId="6D95B2FA" w:rsidR="006B0092" w:rsidRDefault="008A0FE3" w:rsidP="004C7EF4">
      <w:pPr>
        <w:sectPr w:rsidR="006B00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6D7F">
        <w:rPr>
          <w:highlight w:val="yellow"/>
        </w:rPr>
        <w:t xml:space="preserve">[You </w:t>
      </w:r>
      <w:r w:rsidR="006B0092">
        <w:rPr>
          <w:highlight w:val="yellow"/>
        </w:rPr>
        <w:t>do not</w:t>
      </w:r>
      <w:r w:rsidRPr="00126D7F">
        <w:rPr>
          <w:highlight w:val="yellow"/>
        </w:rPr>
        <w:t xml:space="preserve"> need to get too long winded here</w:t>
      </w:r>
      <w:r w:rsidR="007E39D8" w:rsidRPr="00126D7F">
        <w:rPr>
          <w:highlight w:val="yellow"/>
        </w:rPr>
        <w:t xml:space="preserve"> </w:t>
      </w:r>
      <w:r w:rsidRPr="00126D7F">
        <w:rPr>
          <w:highlight w:val="yellow"/>
        </w:rPr>
        <w:t>or report every single data point. Your overall sense of the highlights suffices for present purposes. Refer to the Treatment Summary Report example for ideas about level of depth.]</w:t>
      </w:r>
    </w:p>
    <w:p w14:paraId="3657A54D" w14:textId="51C1D452" w:rsidR="001A1B9F" w:rsidRPr="001A1B9F" w:rsidRDefault="006B63A9" w:rsidP="004C7EF4">
      <w:pPr>
        <w:rPr>
          <w:b/>
          <w:bCs/>
        </w:rPr>
      </w:pPr>
      <w:r>
        <w:rPr>
          <w:b/>
          <w:bCs/>
        </w:rPr>
        <w:lastRenderedPageBreak/>
        <w:t>Intake</w:t>
      </w:r>
      <w:r w:rsidR="00640B32">
        <w:rPr>
          <w:b/>
          <w:bCs/>
        </w:rPr>
        <w:t xml:space="preserve"> </w:t>
      </w:r>
      <w:r w:rsidR="001A1B9F" w:rsidRPr="001A1B9F">
        <w:rPr>
          <w:b/>
          <w:bCs/>
        </w:rPr>
        <w:t>Assessment Results</w:t>
      </w:r>
    </w:p>
    <w:p w14:paraId="673E4AFA" w14:textId="7E88A57C" w:rsidR="001A1B9F" w:rsidRDefault="001A1B9F" w:rsidP="004C7EF4"/>
    <w:p w14:paraId="68E880B4" w14:textId="6559E802" w:rsidR="00FA5022" w:rsidRDefault="009D2576" w:rsidP="00FA5022">
      <w:r>
        <w:t xml:space="preserve">The below table summarizes </w:t>
      </w:r>
      <w:r w:rsidR="00CE0355">
        <w:t>the client’s</w:t>
      </w:r>
      <w:r>
        <w:t xml:space="preserve"> results</w:t>
      </w:r>
      <w:r w:rsidR="00755417">
        <w:t xml:space="preserve"> for </w:t>
      </w:r>
      <w:r w:rsidR="00CB061B">
        <w:t>assessment</w:t>
      </w:r>
      <w:r w:rsidR="00755417">
        <w:t xml:space="preserve"> measures</w:t>
      </w:r>
      <w:r w:rsidR="00FA5022">
        <w:t xml:space="preserve"> he </w:t>
      </w:r>
      <w:proofErr w:type="gramStart"/>
      <w:r w:rsidR="00FA5022">
        <w:t>was administered</w:t>
      </w:r>
      <w:proofErr w:type="gramEnd"/>
      <w:r w:rsidR="00FA5022">
        <w:t xml:space="preserve"> </w:t>
      </w:r>
      <w:r w:rsidR="006B63A9">
        <w:t>as part of</w:t>
      </w:r>
      <w:r w:rsidR="00FA5022">
        <w:t xml:space="preserve"> his intake</w:t>
      </w:r>
      <w:r w:rsidR="00755417">
        <w:t>.</w:t>
      </w:r>
    </w:p>
    <w:p w14:paraId="0D76D124" w14:textId="16515403" w:rsidR="001A1B9F" w:rsidRDefault="001A1B9F" w:rsidP="004C7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2785"/>
      </w:tblGrid>
      <w:tr w:rsidR="007F1941" w14:paraId="7B5BF0E9" w14:textId="77777777" w:rsidTr="00CA08C7">
        <w:tc>
          <w:tcPr>
            <w:tcW w:w="2875" w:type="dxa"/>
            <w:shd w:val="clear" w:color="auto" w:fill="D9D9D9" w:themeFill="background1" w:themeFillShade="D9"/>
          </w:tcPr>
          <w:p w14:paraId="7530D790" w14:textId="77777777" w:rsidR="007F1941" w:rsidRDefault="007F1941" w:rsidP="000E08C0">
            <w:pPr>
              <w:rPr>
                <w:b/>
                <w:bCs/>
              </w:rPr>
            </w:pPr>
            <w:r w:rsidRPr="00F608DA">
              <w:rPr>
                <w:b/>
                <w:bCs/>
              </w:rPr>
              <w:t>Measure</w:t>
            </w:r>
          </w:p>
          <w:p w14:paraId="6DCAAEC3" w14:textId="019F34C2" w:rsidR="007F1941" w:rsidRPr="0085164B" w:rsidRDefault="007F1941" w:rsidP="000E08C0">
            <w:r w:rsidRPr="0085164B">
              <w:rPr>
                <w:color w:val="A6A6A6" w:themeColor="background1" w:themeShade="A6"/>
              </w:rPr>
              <w:t>Comparison scores</w:t>
            </w:r>
            <w:r>
              <w:rPr>
                <w:color w:val="A6A6A6" w:themeColor="background1" w:themeShade="A6"/>
              </w:rPr>
              <w:t xml:space="preserve"> for interpretation</w:t>
            </w:r>
            <w:r w:rsidR="00C77735">
              <w:rPr>
                <w:color w:val="A6A6A6" w:themeColor="background1" w:themeShade="A6"/>
              </w:rPr>
              <w:t xml:space="preserve">: </w:t>
            </w:r>
            <w:r w:rsidR="00C77735" w:rsidRPr="00C77735">
              <w:rPr>
                <w:i/>
                <w:iCs/>
                <w:color w:val="A6A6A6" w:themeColor="background1" w:themeShade="A6"/>
              </w:rPr>
              <w:t>M</w:t>
            </w:r>
            <w:r w:rsidR="00C77735">
              <w:rPr>
                <w:color w:val="A6A6A6" w:themeColor="background1" w:themeShade="A6"/>
              </w:rPr>
              <w:t xml:space="preserve"> (</w:t>
            </w:r>
            <w:r w:rsidR="00C77735" w:rsidRPr="00C77735">
              <w:rPr>
                <w:i/>
                <w:iCs/>
                <w:color w:val="A6A6A6" w:themeColor="background1" w:themeShade="A6"/>
              </w:rPr>
              <w:t>SD</w:t>
            </w:r>
            <w:r w:rsidR="00C77735">
              <w:rPr>
                <w:color w:val="A6A6A6" w:themeColor="background1" w:themeShade="A6"/>
              </w:rPr>
              <w:t>)</w:t>
            </w:r>
            <w:r w:rsidR="001A65FF">
              <w:rPr>
                <w:color w:val="A6A6A6" w:themeColor="background1" w:themeShade="A6"/>
              </w:rPr>
              <w:t xml:space="preserve"> or other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39F6DFF" w14:textId="4F8FABC4" w:rsidR="007F1941" w:rsidRPr="00F608DA" w:rsidRDefault="007F1941" w:rsidP="000E08C0">
            <w:pPr>
              <w:rPr>
                <w:b/>
                <w:bCs/>
              </w:rPr>
            </w:pPr>
            <w:r w:rsidRPr="00F608DA">
              <w:rPr>
                <w:b/>
                <w:bCs/>
              </w:rPr>
              <w:t>Scale</w:t>
            </w:r>
            <w:r w:rsidR="00D35F8B">
              <w:rPr>
                <w:b/>
                <w:bCs/>
              </w:rPr>
              <w:t xml:space="preserve"> </w:t>
            </w:r>
            <w:r w:rsidRPr="00F608DA">
              <w:rPr>
                <w:b/>
                <w:bCs/>
              </w:rPr>
              <w:t>/</w:t>
            </w:r>
            <w:r w:rsidR="00D35F8B">
              <w:rPr>
                <w:b/>
                <w:bCs/>
              </w:rPr>
              <w:t xml:space="preserve"> S</w:t>
            </w:r>
            <w:r w:rsidRPr="00F608DA">
              <w:rPr>
                <w:b/>
                <w:bCs/>
              </w:rPr>
              <w:t>ubscale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664B8C8D" w14:textId="77777777" w:rsidR="007F1941" w:rsidRPr="00F608DA" w:rsidRDefault="007F1941" w:rsidP="000E08C0">
            <w:pPr>
              <w:jc w:val="center"/>
              <w:rPr>
                <w:b/>
                <w:bCs/>
              </w:rPr>
            </w:pPr>
            <w:r w:rsidRPr="000C4AEA">
              <w:rPr>
                <w:b/>
                <w:bCs/>
              </w:rPr>
              <w:t>Score / Level at Baseline</w:t>
            </w:r>
          </w:p>
        </w:tc>
      </w:tr>
      <w:tr w:rsidR="006B63A9" w:rsidRPr="00664BF4" w14:paraId="1D86FB0F" w14:textId="77777777" w:rsidTr="004C5AC7">
        <w:tc>
          <w:tcPr>
            <w:tcW w:w="2875" w:type="dxa"/>
            <w:shd w:val="clear" w:color="auto" w:fill="F2F2F2" w:themeFill="background1" w:themeFillShade="F2"/>
          </w:tcPr>
          <w:p w14:paraId="64DAA7E7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85164B">
              <w:rPr>
                <w:b/>
                <w:bCs/>
              </w:rPr>
              <w:t>LS/CMI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3682B13" w14:textId="77777777" w:rsidR="006B63A9" w:rsidRPr="00664BF4" w:rsidRDefault="006B63A9" w:rsidP="004C5AC7">
            <w:pPr>
              <w:rPr>
                <w:color w:val="000000" w:themeColor="text1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3E494FCB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52055E56" w14:textId="77777777" w:rsidTr="004C5AC7">
        <w:tc>
          <w:tcPr>
            <w:tcW w:w="2875" w:type="dxa"/>
            <w:vAlign w:val="center"/>
          </w:tcPr>
          <w:p w14:paraId="5E5A3FE5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85164B">
              <w:rPr>
                <w:color w:val="A6A6A6" w:themeColor="background1" w:themeShade="A6"/>
                <w:sz w:val="20"/>
              </w:rPr>
              <w:t>0–1 (Very Low)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2–3 (Low)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4–5 (Medium)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6–7 (High)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8 (Very High)</w:t>
            </w:r>
          </w:p>
        </w:tc>
        <w:tc>
          <w:tcPr>
            <w:tcW w:w="3690" w:type="dxa"/>
          </w:tcPr>
          <w:p w14:paraId="47521F0A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Criminal History</w:t>
            </w:r>
          </w:p>
        </w:tc>
        <w:tc>
          <w:tcPr>
            <w:tcW w:w="2785" w:type="dxa"/>
          </w:tcPr>
          <w:p w14:paraId="347D9D39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1BCB4A17" w14:textId="77777777" w:rsidTr="004C5AC7">
        <w:tc>
          <w:tcPr>
            <w:tcW w:w="2875" w:type="dxa"/>
            <w:vAlign w:val="center"/>
          </w:tcPr>
          <w:p w14:paraId="3300DFC9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0–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5; 6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7;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8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9</w:t>
            </w:r>
          </w:p>
        </w:tc>
        <w:tc>
          <w:tcPr>
            <w:tcW w:w="3690" w:type="dxa"/>
          </w:tcPr>
          <w:p w14:paraId="4395F3FE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Education/Employment</w:t>
            </w:r>
          </w:p>
        </w:tc>
        <w:tc>
          <w:tcPr>
            <w:tcW w:w="2785" w:type="dxa"/>
          </w:tcPr>
          <w:p w14:paraId="6ABE262C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4FE49096" w14:textId="77777777" w:rsidTr="004C5AC7">
        <w:tc>
          <w:tcPr>
            <w:tcW w:w="2875" w:type="dxa"/>
            <w:vAlign w:val="center"/>
          </w:tcPr>
          <w:p w14:paraId="60E6219B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77A41B8F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Family/Marital</w:t>
            </w:r>
          </w:p>
        </w:tc>
        <w:tc>
          <w:tcPr>
            <w:tcW w:w="2785" w:type="dxa"/>
          </w:tcPr>
          <w:p w14:paraId="6DC23E7F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37B71200" w14:textId="77777777" w:rsidTr="004C5AC7">
        <w:tc>
          <w:tcPr>
            <w:tcW w:w="2875" w:type="dxa"/>
            <w:vAlign w:val="center"/>
          </w:tcPr>
          <w:p w14:paraId="0E8BAD7A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—;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 2;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—</w:t>
            </w:r>
          </w:p>
        </w:tc>
        <w:tc>
          <w:tcPr>
            <w:tcW w:w="3690" w:type="dxa"/>
          </w:tcPr>
          <w:p w14:paraId="1F8AD2C6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Leisure/Recreation</w:t>
            </w:r>
          </w:p>
        </w:tc>
        <w:tc>
          <w:tcPr>
            <w:tcW w:w="2785" w:type="dxa"/>
          </w:tcPr>
          <w:p w14:paraId="2BC4CB46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30134C00" w14:textId="77777777" w:rsidTr="004C5AC7">
        <w:tc>
          <w:tcPr>
            <w:tcW w:w="2875" w:type="dxa"/>
            <w:vAlign w:val="center"/>
          </w:tcPr>
          <w:p w14:paraId="053A4E1D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28D36649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Companions</w:t>
            </w:r>
          </w:p>
        </w:tc>
        <w:tc>
          <w:tcPr>
            <w:tcW w:w="2785" w:type="dxa"/>
          </w:tcPr>
          <w:p w14:paraId="5107B764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1F47D358" w14:textId="77777777" w:rsidTr="004C5AC7">
        <w:tc>
          <w:tcPr>
            <w:tcW w:w="2875" w:type="dxa"/>
            <w:vAlign w:val="center"/>
          </w:tcPr>
          <w:p w14:paraId="6F575937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2;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3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4; 5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6;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7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8</w:t>
            </w:r>
          </w:p>
        </w:tc>
        <w:tc>
          <w:tcPr>
            <w:tcW w:w="3690" w:type="dxa"/>
          </w:tcPr>
          <w:p w14:paraId="05067C2F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Alcohol/Drug Problem</w:t>
            </w:r>
          </w:p>
        </w:tc>
        <w:tc>
          <w:tcPr>
            <w:tcW w:w="2785" w:type="dxa"/>
          </w:tcPr>
          <w:p w14:paraId="64D6CB72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5296286B" w14:textId="77777777" w:rsidTr="004C5AC7">
        <w:tc>
          <w:tcPr>
            <w:tcW w:w="2875" w:type="dxa"/>
            <w:vAlign w:val="center"/>
          </w:tcPr>
          <w:p w14:paraId="2183A545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52681AC9" w14:textId="77777777" w:rsidR="006B63A9" w:rsidRPr="00664BF4" w:rsidRDefault="006B63A9" w:rsidP="004C5AC7">
            <w:pPr>
              <w:rPr>
                <w:color w:val="000000" w:themeColor="text1"/>
              </w:rPr>
            </w:pPr>
            <w:proofErr w:type="spellStart"/>
            <w:r>
              <w:t>Procriminal</w:t>
            </w:r>
            <w:proofErr w:type="spellEnd"/>
            <w:r>
              <w:t xml:space="preserve"> Attitude/Orientation</w:t>
            </w:r>
          </w:p>
        </w:tc>
        <w:tc>
          <w:tcPr>
            <w:tcW w:w="2785" w:type="dxa"/>
          </w:tcPr>
          <w:p w14:paraId="7ED87F3C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245F893B" w14:textId="77777777" w:rsidTr="004C5AC7">
        <w:tc>
          <w:tcPr>
            <w:tcW w:w="2875" w:type="dxa"/>
            <w:vAlign w:val="center"/>
          </w:tcPr>
          <w:p w14:paraId="659961DE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484C690D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Antisocial Pattern</w:t>
            </w:r>
          </w:p>
        </w:tc>
        <w:tc>
          <w:tcPr>
            <w:tcW w:w="2785" w:type="dxa"/>
          </w:tcPr>
          <w:p w14:paraId="3666E4AD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6B63A9" w:rsidRPr="00664BF4" w14:paraId="6F3A71B8" w14:textId="77777777" w:rsidTr="004C5AC7">
        <w:tc>
          <w:tcPr>
            <w:tcW w:w="2875" w:type="dxa"/>
            <w:vAlign w:val="center"/>
          </w:tcPr>
          <w:p w14:paraId="002061BF" w14:textId="77777777" w:rsidR="006B63A9" w:rsidRPr="00664BF4" w:rsidRDefault="006B63A9" w:rsidP="004C5AC7">
            <w:pPr>
              <w:rPr>
                <w:color w:val="000000" w:themeColor="text1"/>
              </w:rPr>
            </w:pPr>
            <w:r w:rsidRPr="0085164B">
              <w:rPr>
                <w:color w:val="A6A6A6" w:themeColor="background1" w:themeShade="A6"/>
                <w:sz w:val="20"/>
              </w:rPr>
              <w:t>0–4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5–10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11–19</w:t>
            </w:r>
            <w:r>
              <w:rPr>
                <w:color w:val="A6A6A6" w:themeColor="background1" w:themeShade="A6"/>
                <w:sz w:val="20"/>
              </w:rPr>
              <w:t xml:space="preserve">; </w:t>
            </w:r>
            <w:r w:rsidRPr="0085164B">
              <w:rPr>
                <w:color w:val="A6A6A6" w:themeColor="background1" w:themeShade="A6"/>
                <w:sz w:val="20"/>
              </w:rPr>
              <w:t>20–29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30–43</w:t>
            </w:r>
          </w:p>
        </w:tc>
        <w:tc>
          <w:tcPr>
            <w:tcW w:w="3690" w:type="dxa"/>
          </w:tcPr>
          <w:p w14:paraId="75529089" w14:textId="77777777" w:rsidR="006B63A9" w:rsidRPr="00664BF4" w:rsidRDefault="006B63A9" w:rsidP="004C5AC7">
            <w:pPr>
              <w:rPr>
                <w:color w:val="000000" w:themeColor="text1"/>
              </w:rPr>
            </w:pPr>
            <w:r>
              <w:t>Total</w:t>
            </w:r>
          </w:p>
        </w:tc>
        <w:tc>
          <w:tcPr>
            <w:tcW w:w="2785" w:type="dxa"/>
          </w:tcPr>
          <w:p w14:paraId="7B7FC1CB" w14:textId="77777777" w:rsidR="006B63A9" w:rsidRPr="00664BF4" w:rsidRDefault="006B63A9" w:rsidP="004C5AC7">
            <w:pPr>
              <w:jc w:val="center"/>
              <w:rPr>
                <w:color w:val="000000" w:themeColor="text1"/>
              </w:rPr>
            </w:pPr>
          </w:p>
        </w:tc>
      </w:tr>
      <w:tr w:rsidR="00EF11DC" w14:paraId="74617C4E" w14:textId="77777777" w:rsidTr="001A65FF">
        <w:tc>
          <w:tcPr>
            <w:tcW w:w="2875" w:type="dxa"/>
            <w:shd w:val="clear" w:color="auto" w:fill="F2F2F2" w:themeFill="background1" w:themeFillShade="F2"/>
          </w:tcPr>
          <w:p w14:paraId="0B4F36B4" w14:textId="76CC2514" w:rsidR="00EF11DC" w:rsidRPr="00C77735" w:rsidRDefault="00C77735" w:rsidP="000E08C0">
            <w:pPr>
              <w:rPr>
                <w:b/>
                <w:bCs/>
                <w:color w:val="A6A6A6" w:themeColor="background1" w:themeShade="A6"/>
              </w:rPr>
            </w:pPr>
            <w:r w:rsidRPr="00C77735">
              <w:rPr>
                <w:b/>
                <w:bCs/>
                <w:color w:val="000000" w:themeColor="text1"/>
              </w:rPr>
              <w:t>SARAN</w:t>
            </w:r>
            <w:r w:rsidR="001A65FF">
              <w:rPr>
                <w:b/>
                <w:bCs/>
                <w:color w:val="000000" w:themeColor="text1"/>
              </w:rPr>
              <w:t xml:space="preserve"> V5</w:t>
            </w:r>
            <w:r w:rsidR="00CE0355">
              <w:rPr>
                <w:b/>
                <w:bCs/>
                <w:color w:val="000000" w:themeColor="text1"/>
              </w:rPr>
              <w:t>:</w:t>
            </w:r>
            <w:r w:rsidR="001A65FF">
              <w:rPr>
                <w:b/>
                <w:bCs/>
                <w:color w:val="000000" w:themeColor="text1"/>
              </w:rPr>
              <w:t xml:space="preserve"> </w:t>
            </w:r>
            <w:r w:rsidR="00CE0355">
              <w:rPr>
                <w:b/>
                <w:bCs/>
                <w:color w:val="000000" w:themeColor="text1"/>
              </w:rPr>
              <w:t>SF</w:t>
            </w:r>
            <w:r w:rsidR="001A65FF">
              <w:rPr>
                <w:rStyle w:val="FootnoteReference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8F2550E" w14:textId="77777777" w:rsidR="00EF11DC" w:rsidRDefault="00EF11DC" w:rsidP="000E08C0"/>
        </w:tc>
        <w:tc>
          <w:tcPr>
            <w:tcW w:w="2785" w:type="dxa"/>
            <w:shd w:val="clear" w:color="auto" w:fill="F2F2F2" w:themeFill="background1" w:themeFillShade="F2"/>
          </w:tcPr>
          <w:p w14:paraId="03B5E6BC" w14:textId="77777777" w:rsidR="00EF11DC" w:rsidRDefault="00EF11DC" w:rsidP="000E08C0">
            <w:pPr>
              <w:jc w:val="center"/>
            </w:pPr>
          </w:p>
        </w:tc>
      </w:tr>
      <w:tr w:rsidR="001A65FF" w14:paraId="22508D23" w14:textId="77777777" w:rsidTr="00CA08C7">
        <w:tc>
          <w:tcPr>
            <w:tcW w:w="2875" w:type="dxa"/>
          </w:tcPr>
          <w:p w14:paraId="063A0103" w14:textId="78842B00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0–32</w:t>
            </w:r>
          </w:p>
        </w:tc>
        <w:tc>
          <w:tcPr>
            <w:tcW w:w="3690" w:type="dxa"/>
          </w:tcPr>
          <w:p w14:paraId="7A459685" w14:textId="5110F457" w:rsidR="001A65FF" w:rsidRPr="001A65FF" w:rsidRDefault="001A65FF" w:rsidP="001A65FF">
            <w:pPr>
              <w:rPr>
                <w:color w:val="000000" w:themeColor="text1"/>
              </w:rPr>
            </w:pPr>
            <w:r>
              <w:t>Central Eight</w:t>
            </w:r>
          </w:p>
        </w:tc>
        <w:tc>
          <w:tcPr>
            <w:tcW w:w="2785" w:type="dxa"/>
          </w:tcPr>
          <w:p w14:paraId="5AAC62A0" w14:textId="6708DC12" w:rsidR="001A65FF" w:rsidRDefault="001A65FF" w:rsidP="001A65FF">
            <w:pPr>
              <w:jc w:val="center"/>
            </w:pPr>
          </w:p>
        </w:tc>
      </w:tr>
      <w:tr w:rsidR="001A65FF" w14:paraId="32DEFA87" w14:textId="77777777" w:rsidTr="00CA08C7">
        <w:tc>
          <w:tcPr>
            <w:tcW w:w="2875" w:type="dxa"/>
          </w:tcPr>
          <w:p w14:paraId="7F6B658C" w14:textId="012F818B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0–8</w:t>
            </w:r>
          </w:p>
        </w:tc>
        <w:tc>
          <w:tcPr>
            <w:tcW w:w="3690" w:type="dxa"/>
          </w:tcPr>
          <w:p w14:paraId="5623B0B5" w14:textId="5E7D69A4" w:rsidR="001A65FF" w:rsidRDefault="001A65FF" w:rsidP="001A65FF">
            <w:r>
              <w:t>Strengths</w:t>
            </w:r>
          </w:p>
        </w:tc>
        <w:tc>
          <w:tcPr>
            <w:tcW w:w="2785" w:type="dxa"/>
          </w:tcPr>
          <w:p w14:paraId="323EEB8B" w14:textId="77777777" w:rsidR="001A65FF" w:rsidRDefault="001A65FF" w:rsidP="001A65FF">
            <w:pPr>
              <w:jc w:val="center"/>
            </w:pPr>
          </w:p>
        </w:tc>
      </w:tr>
      <w:tr w:rsidR="001A65FF" w14:paraId="35108DB8" w14:textId="77777777" w:rsidTr="00CA08C7">
        <w:tc>
          <w:tcPr>
            <w:tcW w:w="2875" w:type="dxa"/>
          </w:tcPr>
          <w:p w14:paraId="4CCB4E99" w14:textId="25CE50BE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Very Low to Very High</w:t>
            </w:r>
          </w:p>
        </w:tc>
        <w:tc>
          <w:tcPr>
            <w:tcW w:w="3690" w:type="dxa"/>
          </w:tcPr>
          <w:p w14:paraId="2E931F72" w14:textId="0C4AB02B" w:rsidR="001A65FF" w:rsidRPr="001A65FF" w:rsidRDefault="001A65FF" w:rsidP="001A65FF">
            <w:pPr>
              <w:rPr>
                <w:color w:val="000000" w:themeColor="text1"/>
              </w:rPr>
            </w:pPr>
            <w:r>
              <w:t>Criminogenic Risk</w:t>
            </w:r>
          </w:p>
        </w:tc>
        <w:tc>
          <w:tcPr>
            <w:tcW w:w="2785" w:type="dxa"/>
          </w:tcPr>
          <w:p w14:paraId="5D2A266A" w14:textId="77777777" w:rsidR="001A65FF" w:rsidRDefault="001A65FF" w:rsidP="001A65FF">
            <w:pPr>
              <w:jc w:val="center"/>
            </w:pPr>
          </w:p>
        </w:tc>
      </w:tr>
      <w:tr w:rsidR="001A65FF" w14:paraId="1F0F3F9A" w14:textId="77777777" w:rsidTr="00CA08C7">
        <w:tc>
          <w:tcPr>
            <w:tcW w:w="2875" w:type="dxa"/>
          </w:tcPr>
          <w:p w14:paraId="7C6CE28B" w14:textId="7BD763E2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0–100%</w:t>
            </w:r>
          </w:p>
        </w:tc>
        <w:tc>
          <w:tcPr>
            <w:tcW w:w="3690" w:type="dxa"/>
          </w:tcPr>
          <w:p w14:paraId="783BD7EB" w14:textId="5FB5E002" w:rsidR="001A65FF" w:rsidRDefault="001A65FF" w:rsidP="001A65FF">
            <w:r>
              <w:t>Criminogenic Risk %</w:t>
            </w:r>
          </w:p>
        </w:tc>
        <w:tc>
          <w:tcPr>
            <w:tcW w:w="2785" w:type="dxa"/>
          </w:tcPr>
          <w:p w14:paraId="2AD74217" w14:textId="77777777" w:rsidR="001A65FF" w:rsidRDefault="001A65FF" w:rsidP="001A65FF">
            <w:pPr>
              <w:jc w:val="center"/>
            </w:pPr>
          </w:p>
        </w:tc>
      </w:tr>
      <w:tr w:rsidR="001A65FF" w14:paraId="00716BAF" w14:textId="77777777" w:rsidTr="00CA08C7">
        <w:tc>
          <w:tcPr>
            <w:tcW w:w="2875" w:type="dxa"/>
          </w:tcPr>
          <w:p w14:paraId="27FA6FDB" w14:textId="6349FE00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0–10</w:t>
            </w:r>
          </w:p>
        </w:tc>
        <w:tc>
          <w:tcPr>
            <w:tcW w:w="3690" w:type="dxa"/>
          </w:tcPr>
          <w:p w14:paraId="4DA1DFC0" w14:textId="05906537" w:rsidR="001A65FF" w:rsidRPr="001A65FF" w:rsidRDefault="001A65FF" w:rsidP="001A65FF">
            <w:pPr>
              <w:rPr>
                <w:color w:val="000000" w:themeColor="text1"/>
              </w:rPr>
            </w:pPr>
            <w:r>
              <w:t>Non-Criminogenic Needs</w:t>
            </w:r>
          </w:p>
        </w:tc>
        <w:tc>
          <w:tcPr>
            <w:tcW w:w="2785" w:type="dxa"/>
          </w:tcPr>
          <w:p w14:paraId="5611B59F" w14:textId="77777777" w:rsidR="001A65FF" w:rsidRDefault="001A65FF" w:rsidP="001A65FF">
            <w:pPr>
              <w:jc w:val="center"/>
            </w:pPr>
          </w:p>
        </w:tc>
      </w:tr>
      <w:tr w:rsidR="001A65FF" w14:paraId="1C90C620" w14:textId="77777777" w:rsidTr="00CA08C7">
        <w:tc>
          <w:tcPr>
            <w:tcW w:w="2875" w:type="dxa"/>
          </w:tcPr>
          <w:p w14:paraId="2FE7FD2F" w14:textId="1051E3AE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0–8</w:t>
            </w:r>
          </w:p>
        </w:tc>
        <w:tc>
          <w:tcPr>
            <w:tcW w:w="3690" w:type="dxa"/>
          </w:tcPr>
          <w:p w14:paraId="71E8BE7A" w14:textId="0F879772" w:rsidR="001A65FF" w:rsidRPr="001A65FF" w:rsidRDefault="001A65FF" w:rsidP="001A65FF">
            <w:pPr>
              <w:rPr>
                <w:color w:val="000000" w:themeColor="text1"/>
              </w:rPr>
            </w:pPr>
            <w:r>
              <w:t>Responsivity Factors</w:t>
            </w:r>
          </w:p>
        </w:tc>
        <w:tc>
          <w:tcPr>
            <w:tcW w:w="2785" w:type="dxa"/>
          </w:tcPr>
          <w:p w14:paraId="08E03653" w14:textId="77777777" w:rsidR="001A65FF" w:rsidRDefault="001A65FF" w:rsidP="001A65FF">
            <w:pPr>
              <w:jc w:val="center"/>
            </w:pPr>
          </w:p>
        </w:tc>
      </w:tr>
      <w:tr w:rsidR="001A65FF" w14:paraId="155E1D5F" w14:textId="77777777" w:rsidTr="00CA08C7">
        <w:tc>
          <w:tcPr>
            <w:tcW w:w="2875" w:type="dxa"/>
          </w:tcPr>
          <w:p w14:paraId="5ABF8426" w14:textId="35F61D60" w:rsidR="001A65FF" w:rsidRDefault="001A65FF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 at all (0%) to Completely (100%)</w:t>
            </w:r>
          </w:p>
        </w:tc>
        <w:tc>
          <w:tcPr>
            <w:tcW w:w="3690" w:type="dxa"/>
          </w:tcPr>
          <w:p w14:paraId="003D8B56" w14:textId="5FC9A72F" w:rsidR="001A65FF" w:rsidRPr="001A65FF" w:rsidRDefault="001A65FF" w:rsidP="001A65FF">
            <w:pPr>
              <w:rPr>
                <w:color w:val="000000" w:themeColor="text1"/>
              </w:rPr>
            </w:pPr>
            <w:r>
              <w:t>Accuracy</w:t>
            </w:r>
          </w:p>
        </w:tc>
        <w:tc>
          <w:tcPr>
            <w:tcW w:w="2785" w:type="dxa"/>
          </w:tcPr>
          <w:p w14:paraId="54171A70" w14:textId="77777777" w:rsidR="001A65FF" w:rsidRDefault="001A65FF" w:rsidP="001A65FF">
            <w:pPr>
              <w:jc w:val="center"/>
            </w:pPr>
          </w:p>
        </w:tc>
      </w:tr>
      <w:tr w:rsidR="001A65FF" w14:paraId="0F2BDC40" w14:textId="77777777" w:rsidTr="00CA08C7">
        <w:tc>
          <w:tcPr>
            <w:tcW w:w="2875" w:type="dxa"/>
            <w:shd w:val="clear" w:color="auto" w:fill="F2F2F2" w:themeFill="background1" w:themeFillShade="F2"/>
          </w:tcPr>
          <w:p w14:paraId="70217F78" w14:textId="77777777" w:rsidR="001A65FF" w:rsidRPr="0085164B" w:rsidRDefault="001A65FF" w:rsidP="001A65FF">
            <w:pPr>
              <w:rPr>
                <w:b/>
                <w:bCs/>
                <w:color w:val="A6A6A6" w:themeColor="background1" w:themeShade="A6"/>
              </w:rPr>
            </w:pPr>
            <w:r w:rsidRPr="0085164B">
              <w:rPr>
                <w:b/>
                <w:bCs/>
              </w:rPr>
              <w:t>LSRP36</w:t>
            </w:r>
            <w:r w:rsidRPr="0085164B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0240279" w14:textId="77777777" w:rsidR="001A65FF" w:rsidRDefault="001A65FF" w:rsidP="001A65FF"/>
        </w:tc>
        <w:tc>
          <w:tcPr>
            <w:tcW w:w="2785" w:type="dxa"/>
            <w:shd w:val="clear" w:color="auto" w:fill="F2F2F2" w:themeFill="background1" w:themeFillShade="F2"/>
          </w:tcPr>
          <w:p w14:paraId="107FBABF" w14:textId="77777777" w:rsidR="001A65FF" w:rsidRDefault="001A65FF" w:rsidP="001A65FF">
            <w:pPr>
              <w:jc w:val="center"/>
            </w:pPr>
          </w:p>
        </w:tc>
      </w:tr>
      <w:tr w:rsidR="00CE0355" w14:paraId="4640DDCC" w14:textId="77777777" w:rsidTr="00CA08C7">
        <w:tc>
          <w:tcPr>
            <w:tcW w:w="2875" w:type="dxa"/>
          </w:tcPr>
          <w:p w14:paraId="1E531475" w14:textId="72DE3183" w:rsidR="00CE0355" w:rsidRPr="0085164B" w:rsidRDefault="00CE0355" w:rsidP="00CE0355">
            <w:pPr>
              <w:rPr>
                <w:color w:val="A6A6A6" w:themeColor="background1" w:themeShade="A6"/>
              </w:rPr>
            </w:pPr>
            <w:r w:rsidRPr="0085164B">
              <w:rPr>
                <w:color w:val="A6A6A6" w:themeColor="background1" w:themeShade="A6"/>
              </w:rPr>
              <w:t>1.94</w:t>
            </w:r>
            <w:r>
              <w:rPr>
                <w:color w:val="A6A6A6" w:themeColor="background1" w:themeShade="A6"/>
              </w:rPr>
              <w:t xml:space="preserve"> (0</w:t>
            </w:r>
            <w:r w:rsidRPr="0085164B">
              <w:rPr>
                <w:color w:val="A6A6A6" w:themeColor="background1" w:themeShade="A6"/>
              </w:rPr>
              <w:t>.36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14:paraId="74448DD7" w14:textId="511E6F64" w:rsidR="00CE0355" w:rsidRDefault="00CE0355" w:rsidP="00CE0355">
            <w:r>
              <w:t>Total</w:t>
            </w:r>
          </w:p>
        </w:tc>
        <w:tc>
          <w:tcPr>
            <w:tcW w:w="2785" w:type="dxa"/>
          </w:tcPr>
          <w:p w14:paraId="192EC8B3" w14:textId="77777777" w:rsidR="00CA1526" w:rsidRDefault="00CA1526" w:rsidP="00CA1526">
            <w:pPr>
              <w:jc w:val="center"/>
            </w:pPr>
            <w:r>
              <w:t xml:space="preserve">Raw = </w:t>
            </w:r>
          </w:p>
          <w:p w14:paraId="050259EF" w14:textId="65F0D390" w:rsidR="00CE0355" w:rsidRDefault="00CA1526" w:rsidP="00CA1526">
            <w:pPr>
              <w:jc w:val="center"/>
            </w:pPr>
            <w:r w:rsidRPr="007F1779">
              <w:rPr>
                <w:i/>
                <w:iCs/>
              </w:rPr>
              <w:t>z</w:t>
            </w:r>
            <w:r w:rsidR="00B7603D" w:rsidRPr="00B7603D">
              <w:t>-score</w:t>
            </w:r>
            <w:r w:rsidRPr="00B7603D">
              <w:t xml:space="preserve"> </w:t>
            </w:r>
            <w:r>
              <w:t xml:space="preserve">= </w:t>
            </w:r>
          </w:p>
        </w:tc>
      </w:tr>
      <w:tr w:rsidR="001A65FF" w14:paraId="1CEBDB82" w14:textId="77777777" w:rsidTr="00CA08C7">
        <w:tc>
          <w:tcPr>
            <w:tcW w:w="2875" w:type="dxa"/>
            <w:shd w:val="clear" w:color="auto" w:fill="F2F2F2" w:themeFill="background1" w:themeFillShade="F2"/>
          </w:tcPr>
          <w:p w14:paraId="3515BA23" w14:textId="77777777" w:rsidR="001A65FF" w:rsidRPr="0085164B" w:rsidRDefault="001A65FF" w:rsidP="001A65FF">
            <w:pPr>
              <w:rPr>
                <w:b/>
                <w:bCs/>
              </w:rPr>
            </w:pPr>
            <w:r w:rsidRPr="0085164B">
              <w:rPr>
                <w:b/>
                <w:bCs/>
              </w:rPr>
              <w:t>CVTRQ</w:t>
            </w:r>
            <w:r w:rsidRPr="0085164B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D92A709" w14:textId="77777777" w:rsidR="001A65FF" w:rsidRDefault="001A65FF" w:rsidP="001A65FF"/>
        </w:tc>
        <w:tc>
          <w:tcPr>
            <w:tcW w:w="2785" w:type="dxa"/>
            <w:shd w:val="clear" w:color="auto" w:fill="F2F2F2" w:themeFill="background1" w:themeFillShade="F2"/>
          </w:tcPr>
          <w:p w14:paraId="1E1EC157" w14:textId="77777777" w:rsidR="001A65FF" w:rsidRDefault="001A65FF" w:rsidP="001A65FF">
            <w:pPr>
              <w:jc w:val="center"/>
            </w:pPr>
          </w:p>
        </w:tc>
      </w:tr>
      <w:tr w:rsidR="001A65FF" w14:paraId="3A1A79A3" w14:textId="77777777" w:rsidTr="00CA08C7">
        <w:tc>
          <w:tcPr>
            <w:tcW w:w="2875" w:type="dxa"/>
          </w:tcPr>
          <w:p w14:paraId="48EE7DAD" w14:textId="77777777" w:rsidR="001A65FF" w:rsidRPr="0085164B" w:rsidRDefault="001A65FF" w:rsidP="001A65FF">
            <w:pPr>
              <w:rPr>
                <w:color w:val="A6A6A6" w:themeColor="background1" w:themeShade="A6"/>
              </w:rPr>
            </w:pPr>
            <w:r w:rsidRPr="0085164B">
              <w:rPr>
                <w:color w:val="A6A6A6" w:themeColor="background1" w:themeShade="A6"/>
              </w:rPr>
              <w:t>83.23 (10.73)</w:t>
            </w:r>
            <w:r>
              <w:rPr>
                <w:color w:val="A6A6A6" w:themeColor="background1" w:themeShade="A6"/>
              </w:rPr>
              <w:t xml:space="preserve">, cutoff  </w:t>
            </w:r>
            <w:r w:rsidRPr="008E0DF4">
              <w:rPr>
                <w:color w:val="A6A6A6" w:themeColor="background1" w:themeShade="A6"/>
              </w:rPr>
              <w:t>≥</w:t>
            </w:r>
            <w:r>
              <w:rPr>
                <w:color w:val="A6A6A6" w:themeColor="background1" w:themeShade="A6"/>
              </w:rPr>
              <w:t xml:space="preserve"> </w:t>
            </w:r>
            <w:r w:rsidRPr="008E0DF4">
              <w:rPr>
                <w:color w:val="A6A6A6" w:themeColor="background1" w:themeShade="A6"/>
              </w:rPr>
              <w:t>72</w:t>
            </w:r>
          </w:p>
        </w:tc>
        <w:tc>
          <w:tcPr>
            <w:tcW w:w="3690" w:type="dxa"/>
          </w:tcPr>
          <w:p w14:paraId="0058432C" w14:textId="77777777" w:rsidR="001A65FF" w:rsidRDefault="001A65FF" w:rsidP="001A65FF">
            <w:r>
              <w:t>Total Readiness</w:t>
            </w:r>
          </w:p>
        </w:tc>
        <w:tc>
          <w:tcPr>
            <w:tcW w:w="2785" w:type="dxa"/>
          </w:tcPr>
          <w:p w14:paraId="59C10D2A" w14:textId="77777777" w:rsidR="00CA1526" w:rsidRDefault="00CA1526" w:rsidP="00CA1526">
            <w:pPr>
              <w:jc w:val="center"/>
            </w:pPr>
            <w:r>
              <w:t xml:space="preserve">Raw = </w:t>
            </w:r>
          </w:p>
          <w:p w14:paraId="5515A2FC" w14:textId="62F11FDD" w:rsidR="00CA1526" w:rsidRDefault="00CA1526" w:rsidP="006B0092">
            <w:pPr>
              <w:jc w:val="center"/>
            </w:pPr>
            <w:r w:rsidRPr="007F1779">
              <w:rPr>
                <w:i/>
                <w:iCs/>
              </w:rPr>
              <w:lastRenderedPageBreak/>
              <w:t>z</w:t>
            </w:r>
            <w:r>
              <w:rPr>
                <w:i/>
                <w:iCs/>
              </w:rPr>
              <w:t xml:space="preserve"> </w:t>
            </w:r>
            <w:r>
              <w:t>=</w:t>
            </w:r>
            <w:r w:rsidR="006B0092">
              <w:t xml:space="preserve"> </w:t>
            </w:r>
          </w:p>
        </w:tc>
      </w:tr>
      <w:tr w:rsidR="00857BD6" w14:paraId="1290CFFD" w14:textId="77777777" w:rsidTr="0064067A">
        <w:tc>
          <w:tcPr>
            <w:tcW w:w="2875" w:type="dxa"/>
            <w:shd w:val="clear" w:color="auto" w:fill="F2F2F2" w:themeFill="background1" w:themeFillShade="F2"/>
          </w:tcPr>
          <w:p w14:paraId="20DC4136" w14:textId="77777777" w:rsidR="00857BD6" w:rsidRPr="0085164B" w:rsidRDefault="00857BD6" w:rsidP="006406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TOPF</w:t>
            </w:r>
            <w:r>
              <w:rPr>
                <w:rStyle w:val="FootnoteReference"/>
                <w:b/>
                <w:bCs/>
              </w:rPr>
              <w:footnoteReference w:id="5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CBE6EC3" w14:textId="77777777" w:rsidR="00857BD6" w:rsidRDefault="00857BD6" w:rsidP="0064067A"/>
        </w:tc>
        <w:tc>
          <w:tcPr>
            <w:tcW w:w="2785" w:type="dxa"/>
            <w:shd w:val="clear" w:color="auto" w:fill="F2F2F2" w:themeFill="background1" w:themeFillShade="F2"/>
          </w:tcPr>
          <w:p w14:paraId="70AC06E1" w14:textId="77777777" w:rsidR="00857BD6" w:rsidRDefault="00857BD6" w:rsidP="0064067A">
            <w:pPr>
              <w:jc w:val="center"/>
            </w:pPr>
          </w:p>
        </w:tc>
      </w:tr>
      <w:tr w:rsidR="00857BD6" w14:paraId="14241D7B" w14:textId="77777777" w:rsidTr="0064067A">
        <w:tc>
          <w:tcPr>
            <w:tcW w:w="2875" w:type="dxa"/>
          </w:tcPr>
          <w:p w14:paraId="5887E61D" w14:textId="77777777" w:rsidR="00857BD6" w:rsidRPr="0085164B" w:rsidRDefault="00857BD6" w:rsidP="0064067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From manual</w:t>
            </w:r>
          </w:p>
        </w:tc>
        <w:tc>
          <w:tcPr>
            <w:tcW w:w="3690" w:type="dxa"/>
          </w:tcPr>
          <w:p w14:paraId="7093D221" w14:textId="77777777" w:rsidR="00857BD6" w:rsidRDefault="00857BD6" w:rsidP="0064067A">
            <w:r>
              <w:t>Total</w:t>
            </w:r>
          </w:p>
        </w:tc>
        <w:tc>
          <w:tcPr>
            <w:tcW w:w="2785" w:type="dxa"/>
          </w:tcPr>
          <w:p w14:paraId="71F135E5" w14:textId="77777777" w:rsidR="00857BD6" w:rsidRDefault="00857BD6" w:rsidP="0064067A">
            <w:pPr>
              <w:jc w:val="center"/>
            </w:pPr>
            <w:r>
              <w:t xml:space="preserve">Raw = </w:t>
            </w:r>
          </w:p>
          <w:p w14:paraId="4DAD8069" w14:textId="3AD789F5" w:rsidR="00857BD6" w:rsidRDefault="00857BD6" w:rsidP="0064067A">
            <w:pPr>
              <w:jc w:val="center"/>
            </w:pPr>
            <w:r>
              <w:t>Standard score</w:t>
            </w:r>
            <w:r>
              <w:rPr>
                <w:i/>
                <w:iCs/>
              </w:rPr>
              <w:t xml:space="preserve"> </w:t>
            </w:r>
            <w:r>
              <w:t xml:space="preserve">= </w:t>
            </w:r>
          </w:p>
        </w:tc>
      </w:tr>
      <w:tr w:rsidR="001A65FF" w14:paraId="7248BB62" w14:textId="77777777" w:rsidTr="00CA08C7">
        <w:tc>
          <w:tcPr>
            <w:tcW w:w="2875" w:type="dxa"/>
            <w:shd w:val="clear" w:color="auto" w:fill="F2F2F2" w:themeFill="background1" w:themeFillShade="F2"/>
          </w:tcPr>
          <w:p w14:paraId="3A1482E5" w14:textId="77777777" w:rsidR="001A65FF" w:rsidRPr="0085164B" w:rsidRDefault="001A65FF" w:rsidP="001A65FF">
            <w:pPr>
              <w:rPr>
                <w:b/>
                <w:bCs/>
              </w:rPr>
            </w:pPr>
            <w:r w:rsidRPr="0085164B">
              <w:rPr>
                <w:b/>
                <w:bCs/>
              </w:rPr>
              <w:t>DBT-WCCL</w:t>
            </w:r>
            <w:r w:rsidRPr="0085164B">
              <w:rPr>
                <w:rStyle w:val="FootnoteReference"/>
                <w:b/>
                <w:bCs/>
              </w:rPr>
              <w:footnoteReference w:id="6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FEE5BF7" w14:textId="77777777" w:rsidR="001A65FF" w:rsidRDefault="001A65FF" w:rsidP="001A65FF"/>
        </w:tc>
        <w:tc>
          <w:tcPr>
            <w:tcW w:w="2785" w:type="dxa"/>
            <w:shd w:val="clear" w:color="auto" w:fill="F2F2F2" w:themeFill="background1" w:themeFillShade="F2"/>
          </w:tcPr>
          <w:p w14:paraId="364AE53A" w14:textId="77777777" w:rsidR="001A65FF" w:rsidRDefault="001A65FF" w:rsidP="001A65FF">
            <w:pPr>
              <w:jc w:val="center"/>
            </w:pPr>
          </w:p>
        </w:tc>
      </w:tr>
      <w:tr w:rsidR="001A65FF" w14:paraId="3AD3DD2D" w14:textId="77777777" w:rsidTr="00CA08C7">
        <w:tc>
          <w:tcPr>
            <w:tcW w:w="2875" w:type="dxa"/>
          </w:tcPr>
          <w:p w14:paraId="6B498C38" w14:textId="77777777" w:rsidR="001A65FF" w:rsidRDefault="001A65FF" w:rsidP="001A65FF">
            <w:r w:rsidRPr="0085164B">
              <w:rPr>
                <w:color w:val="A6A6A6" w:themeColor="background1" w:themeShade="A6"/>
              </w:rPr>
              <w:t>1.53 (0.47)</w:t>
            </w:r>
          </w:p>
        </w:tc>
        <w:tc>
          <w:tcPr>
            <w:tcW w:w="3690" w:type="dxa"/>
          </w:tcPr>
          <w:p w14:paraId="7F9536A7" w14:textId="77777777" w:rsidR="001A65FF" w:rsidRDefault="001A65FF" w:rsidP="001A65FF">
            <w:r>
              <w:t>Skills Use</w:t>
            </w:r>
          </w:p>
        </w:tc>
        <w:tc>
          <w:tcPr>
            <w:tcW w:w="2785" w:type="dxa"/>
          </w:tcPr>
          <w:p w14:paraId="2EBA9825" w14:textId="77777777" w:rsidR="00CA1526" w:rsidRDefault="00CA1526" w:rsidP="00CA1526">
            <w:pPr>
              <w:jc w:val="center"/>
            </w:pPr>
            <w:r>
              <w:t xml:space="preserve">Raw = </w:t>
            </w:r>
          </w:p>
          <w:p w14:paraId="1A5E9DAE" w14:textId="79D45085" w:rsidR="001A65FF" w:rsidRDefault="00CA1526" w:rsidP="00CA1526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rPr>
                <w:i/>
                <w:iCs/>
              </w:rPr>
              <w:t xml:space="preserve"> </w:t>
            </w:r>
            <w:r>
              <w:t xml:space="preserve">= </w:t>
            </w:r>
          </w:p>
        </w:tc>
      </w:tr>
      <w:tr w:rsidR="001A65FF" w14:paraId="7B574EAF" w14:textId="77777777" w:rsidTr="00CA08C7">
        <w:tc>
          <w:tcPr>
            <w:tcW w:w="2875" w:type="dxa"/>
          </w:tcPr>
          <w:p w14:paraId="3D0BC358" w14:textId="77777777" w:rsidR="001A65FF" w:rsidRDefault="001A65FF" w:rsidP="001A65FF">
            <w:r w:rsidRPr="0085164B">
              <w:rPr>
                <w:color w:val="A6A6A6" w:themeColor="background1" w:themeShade="A6"/>
              </w:rPr>
              <w:t>2.08 (0.39)</w:t>
            </w:r>
          </w:p>
        </w:tc>
        <w:tc>
          <w:tcPr>
            <w:tcW w:w="3690" w:type="dxa"/>
          </w:tcPr>
          <w:p w14:paraId="0751CC0E" w14:textId="77777777" w:rsidR="001A65FF" w:rsidRDefault="001A65FF" w:rsidP="001A65FF">
            <w:r>
              <w:t>Dysfunctional Coping (Combined)</w:t>
            </w:r>
          </w:p>
        </w:tc>
        <w:tc>
          <w:tcPr>
            <w:tcW w:w="2785" w:type="dxa"/>
          </w:tcPr>
          <w:p w14:paraId="7258B024" w14:textId="77777777" w:rsidR="00CA1526" w:rsidRDefault="00CA1526" w:rsidP="00CA1526">
            <w:pPr>
              <w:jc w:val="center"/>
            </w:pPr>
            <w:r>
              <w:t xml:space="preserve">Raw = </w:t>
            </w:r>
          </w:p>
          <w:p w14:paraId="680DFAB1" w14:textId="6121FA52" w:rsidR="001A65FF" w:rsidRDefault="00CA1526" w:rsidP="00CA1526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rPr>
                <w:i/>
                <w:iCs/>
              </w:rPr>
              <w:t xml:space="preserve"> </w:t>
            </w:r>
            <w:r>
              <w:t xml:space="preserve">= </w:t>
            </w:r>
          </w:p>
        </w:tc>
      </w:tr>
      <w:tr w:rsidR="006B63A9" w14:paraId="685CEAEB" w14:textId="77777777" w:rsidTr="004C5AC7">
        <w:tc>
          <w:tcPr>
            <w:tcW w:w="2875" w:type="dxa"/>
            <w:shd w:val="clear" w:color="auto" w:fill="F2F2F2" w:themeFill="background1" w:themeFillShade="F2"/>
          </w:tcPr>
          <w:p w14:paraId="7F1CE08C" w14:textId="77777777" w:rsidR="006B63A9" w:rsidRPr="0085164B" w:rsidRDefault="006B63A9" w:rsidP="004C5AC7">
            <w:pPr>
              <w:rPr>
                <w:b/>
                <w:bCs/>
              </w:rPr>
            </w:pPr>
            <w:r w:rsidRPr="0085164B">
              <w:rPr>
                <w:b/>
                <w:bCs/>
              </w:rPr>
              <w:t>VLQ</w:t>
            </w:r>
            <w:r w:rsidRPr="0085164B"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1DF4616" w14:textId="77777777" w:rsidR="006B63A9" w:rsidRDefault="006B63A9" w:rsidP="004C5AC7"/>
        </w:tc>
        <w:tc>
          <w:tcPr>
            <w:tcW w:w="2785" w:type="dxa"/>
            <w:shd w:val="clear" w:color="auto" w:fill="F2F2F2" w:themeFill="background1" w:themeFillShade="F2"/>
          </w:tcPr>
          <w:p w14:paraId="3D906AC5" w14:textId="77777777" w:rsidR="006B63A9" w:rsidRDefault="006B63A9" w:rsidP="004C5AC7">
            <w:pPr>
              <w:jc w:val="center"/>
            </w:pPr>
          </w:p>
        </w:tc>
      </w:tr>
      <w:tr w:rsidR="006B63A9" w14:paraId="1DA40478" w14:textId="77777777" w:rsidTr="004C5AC7">
        <w:tc>
          <w:tcPr>
            <w:tcW w:w="2875" w:type="dxa"/>
          </w:tcPr>
          <w:p w14:paraId="4FAD3407" w14:textId="77777777" w:rsidR="006B63A9" w:rsidRPr="0085164B" w:rsidRDefault="006B63A9" w:rsidP="004C5AC7">
            <w:pPr>
              <w:rPr>
                <w:color w:val="A6A6A6" w:themeColor="background1" w:themeShade="A6"/>
              </w:rPr>
            </w:pPr>
            <w:r w:rsidRPr="0085164B">
              <w:rPr>
                <w:color w:val="A6A6A6" w:themeColor="background1" w:themeShade="A6"/>
              </w:rPr>
              <w:t>59.52 (14.14)</w:t>
            </w:r>
          </w:p>
        </w:tc>
        <w:tc>
          <w:tcPr>
            <w:tcW w:w="3690" w:type="dxa"/>
          </w:tcPr>
          <w:p w14:paraId="42B1D7A5" w14:textId="77777777" w:rsidR="006B63A9" w:rsidRDefault="006B63A9" w:rsidP="004C5AC7">
            <w:r>
              <w:t>Valued Living Composite</w:t>
            </w:r>
          </w:p>
        </w:tc>
        <w:tc>
          <w:tcPr>
            <w:tcW w:w="2785" w:type="dxa"/>
          </w:tcPr>
          <w:p w14:paraId="74C59413" w14:textId="77777777" w:rsidR="00933929" w:rsidRDefault="00CA1526" w:rsidP="00933929">
            <w:pPr>
              <w:jc w:val="center"/>
            </w:pPr>
            <w:r>
              <w:t xml:space="preserve"> </w:t>
            </w:r>
            <w:r w:rsidR="00933929">
              <w:t xml:space="preserve">Raw = </w:t>
            </w:r>
          </w:p>
          <w:p w14:paraId="3BAAAC62" w14:textId="6F8D0D4E" w:rsidR="006B63A9" w:rsidRDefault="00933929" w:rsidP="00933929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rPr>
                <w:i/>
                <w:iCs/>
              </w:rPr>
              <w:t xml:space="preserve"> </w:t>
            </w:r>
            <w:r>
              <w:t>=</w:t>
            </w:r>
          </w:p>
        </w:tc>
      </w:tr>
    </w:tbl>
    <w:p w14:paraId="04139A8E" w14:textId="77777777" w:rsidR="006B63A9" w:rsidRDefault="006B63A9" w:rsidP="004C7EF4"/>
    <w:p w14:paraId="04D6DFE7" w14:textId="77777777" w:rsidR="00EC7C24" w:rsidRPr="00906FEA" w:rsidRDefault="00EC7C24" w:rsidP="00EC7C24">
      <w:pPr>
        <w:rPr>
          <w:b/>
          <w:bCs/>
        </w:rPr>
      </w:pPr>
      <w:r w:rsidRPr="00906FEA">
        <w:rPr>
          <w:b/>
          <w:bCs/>
        </w:rPr>
        <w:t xml:space="preserve">General criminogenic risk and </w:t>
      </w:r>
      <w:proofErr w:type="gramStart"/>
      <w:r w:rsidRPr="00906FEA">
        <w:rPr>
          <w:b/>
          <w:bCs/>
        </w:rPr>
        <w:t>needs</w:t>
      </w:r>
      <w:proofErr w:type="gramEnd"/>
    </w:p>
    <w:p w14:paraId="42586421" w14:textId="77777777" w:rsidR="00EC7C24" w:rsidRDefault="00EC7C24" w:rsidP="00EC7C24">
      <w:pPr>
        <w:rPr>
          <w:b/>
          <w:bCs/>
          <w:i/>
          <w:iCs/>
        </w:rPr>
      </w:pPr>
    </w:p>
    <w:p w14:paraId="30963306" w14:textId="3CCFAFE7" w:rsidR="002B1230" w:rsidRDefault="00395389" w:rsidP="00EC7C24">
      <w:r>
        <w:t>I rated the</w:t>
      </w:r>
      <w:r w:rsidR="00CE0355">
        <w:t xml:space="preserve"> client’s </w:t>
      </w:r>
      <w:r w:rsidR="006B63A9" w:rsidRPr="006B63A9">
        <w:rPr>
          <w:b/>
          <w:bCs/>
        </w:rPr>
        <w:t>criminal history</w:t>
      </w:r>
      <w:r w:rsidR="006B63A9">
        <w:t xml:space="preserve"> as a </w:t>
      </w:r>
      <w:r w:rsidR="002B7C1E" w:rsidRPr="002B7C1E">
        <w:rPr>
          <w:highlight w:val="yellow"/>
        </w:rPr>
        <w:t>. . .</w:t>
      </w:r>
      <w:r w:rsidR="002B7C1E">
        <w:t xml:space="preserve"> </w:t>
      </w:r>
      <w:r w:rsidR="00EC7C24">
        <w:t>criminogenic need</w:t>
      </w:r>
      <w:r w:rsidR="006B63A9">
        <w:t xml:space="preserve">, whereas he regarded this factor as a </w:t>
      </w:r>
      <w:r w:rsidR="006B63A9" w:rsidRPr="002B7C1E">
        <w:rPr>
          <w:highlight w:val="yellow"/>
        </w:rPr>
        <w:t>. . .</w:t>
      </w:r>
      <w:r w:rsidR="006B63A9">
        <w:t xml:space="preserve"> criminogenic need</w:t>
      </w:r>
      <w:r w:rsidR="00EC7C24">
        <w:t xml:space="preserve">. </w:t>
      </w:r>
      <w:r>
        <w:t>I rated his</w:t>
      </w:r>
      <w:r w:rsidR="006B63A9">
        <w:t xml:space="preserve"> </w:t>
      </w:r>
      <w:r w:rsidR="006B63A9">
        <w:rPr>
          <w:b/>
          <w:bCs/>
        </w:rPr>
        <w:t>c</w:t>
      </w:r>
      <w:r w:rsidR="006B63A9" w:rsidRPr="00D67BD2">
        <w:rPr>
          <w:b/>
          <w:bCs/>
        </w:rPr>
        <w:t>riminogenic thinking</w:t>
      </w:r>
      <w:r w:rsidR="006B63A9">
        <w:t xml:space="preserve"> as a </w:t>
      </w:r>
      <w:r w:rsidR="006B63A9" w:rsidRPr="002B7C1E">
        <w:rPr>
          <w:highlight w:val="yellow"/>
        </w:rPr>
        <w:t>. . .</w:t>
      </w:r>
      <w:r w:rsidR="006B63A9">
        <w:t xml:space="preserve"> criminogenic need, whereas he regarded this factor as a </w:t>
      </w:r>
      <w:r w:rsidR="006B63A9" w:rsidRPr="002B7C1E">
        <w:rPr>
          <w:highlight w:val="yellow"/>
        </w:rPr>
        <w:t>. . .</w:t>
      </w:r>
      <w:r w:rsidR="006B63A9">
        <w:t xml:space="preserve"> criminogenic need. </w:t>
      </w:r>
      <w:r>
        <w:t>I rated his</w:t>
      </w:r>
      <w:r w:rsidR="006B63A9">
        <w:t xml:space="preserve"> </w:t>
      </w:r>
      <w:r w:rsidR="006B63A9" w:rsidRPr="006B63A9">
        <w:rPr>
          <w:b/>
          <w:bCs/>
        </w:rPr>
        <w:t>peer relations</w:t>
      </w:r>
      <w:r w:rsidR="006B63A9">
        <w:t xml:space="preserve"> as a </w:t>
      </w:r>
      <w:r w:rsidR="006B63A9" w:rsidRPr="002B7C1E">
        <w:rPr>
          <w:highlight w:val="yellow"/>
        </w:rPr>
        <w:t>. . .</w:t>
      </w:r>
      <w:r w:rsidR="006B63A9">
        <w:t xml:space="preserve"> criminogenic need, whereas he regarded this factor as a </w:t>
      </w:r>
      <w:r w:rsidR="006B63A9" w:rsidRPr="002B7C1E">
        <w:rPr>
          <w:highlight w:val="yellow"/>
        </w:rPr>
        <w:t>. . .</w:t>
      </w:r>
      <w:r w:rsidR="006B63A9">
        <w:t xml:space="preserve"> criminogenic need. </w:t>
      </w:r>
      <w:r w:rsidR="00CE0355">
        <w:t>The client’s</w:t>
      </w:r>
      <w:r w:rsidR="00EC7C24" w:rsidRPr="00173C24">
        <w:t xml:space="preserve"> </w:t>
      </w:r>
      <w:r w:rsidR="0031420B">
        <w:t>total score</w:t>
      </w:r>
      <w:r w:rsidR="00EC7C24" w:rsidRPr="00173C24">
        <w:t xml:space="preserve"> on the</w:t>
      </w:r>
      <w:r w:rsidR="0031420B">
        <w:t xml:space="preserve"> expanded</w:t>
      </w:r>
      <w:r w:rsidR="00EC7C24" w:rsidRPr="00173C24">
        <w:t xml:space="preserve"> </w:t>
      </w:r>
      <w:r w:rsidR="0031420B" w:rsidRPr="00905137">
        <w:t>Levenson Self-Report Psychopathy Scale</w:t>
      </w:r>
      <w:r w:rsidR="0031420B" w:rsidRPr="00173C24">
        <w:t xml:space="preserve"> </w:t>
      </w:r>
      <w:r w:rsidR="0031420B">
        <w:t>(</w:t>
      </w:r>
      <w:r w:rsidR="00EC7C24" w:rsidRPr="00173C24">
        <w:t>LSRP</w:t>
      </w:r>
      <w:r w:rsidR="00EC7C24">
        <w:t>36</w:t>
      </w:r>
      <w:r w:rsidR="0031420B">
        <w:t>)</w:t>
      </w:r>
      <w:r w:rsidR="00EC7C24" w:rsidRPr="00173C24">
        <w:t xml:space="preserve"> </w:t>
      </w:r>
      <w:r w:rsidR="0031420B">
        <w:t>was</w:t>
      </w:r>
      <w:r w:rsidR="00EC7C24">
        <w:t xml:space="preserve"> </w:t>
      </w:r>
      <w:r w:rsidR="0033170D" w:rsidRPr="0033170D">
        <w:rPr>
          <w:highlight w:val="yellow"/>
        </w:rPr>
        <w:t>[normative interpretation, considering the nature of the reference group]</w:t>
      </w:r>
      <w:r w:rsidR="006B63A9">
        <w:t>, and h</w:t>
      </w:r>
      <w:r w:rsidR="00EC7C24">
        <w:t xml:space="preserve">e </w:t>
      </w:r>
      <w:r w:rsidR="006B63A9">
        <w:t>regarded his</w:t>
      </w:r>
      <w:r w:rsidR="00EC7C24">
        <w:t xml:space="preserve"> personality as a </w:t>
      </w:r>
      <w:r w:rsidR="001B4FC2" w:rsidRPr="002B7C1E">
        <w:rPr>
          <w:highlight w:val="yellow"/>
        </w:rPr>
        <w:t>. . .</w:t>
      </w:r>
      <w:r w:rsidR="001B4FC2">
        <w:t xml:space="preserve"> </w:t>
      </w:r>
      <w:r w:rsidR="00EC7C24">
        <w:t xml:space="preserve">criminogenic need. </w:t>
      </w:r>
      <w:r w:rsidR="002B1230">
        <w:t xml:space="preserve">Ultimately, </w:t>
      </w:r>
      <w:r>
        <w:t xml:space="preserve">I rated his </w:t>
      </w:r>
      <w:r w:rsidR="002B1230">
        <w:rPr>
          <w:b/>
          <w:bCs/>
        </w:rPr>
        <w:t>a</w:t>
      </w:r>
      <w:r w:rsidR="00D67BD2">
        <w:rPr>
          <w:b/>
          <w:bCs/>
        </w:rPr>
        <w:t>ntisocial personality pattern</w:t>
      </w:r>
      <w:r w:rsidR="00D67BD2">
        <w:t xml:space="preserve"> as a </w:t>
      </w:r>
      <w:r w:rsidR="00D67BD2" w:rsidRPr="002B7C1E">
        <w:rPr>
          <w:highlight w:val="yellow"/>
        </w:rPr>
        <w:t>. . .</w:t>
      </w:r>
      <w:r w:rsidR="00D67BD2">
        <w:t xml:space="preserve"> </w:t>
      </w:r>
      <w:r w:rsidR="005C1B56">
        <w:t>criminogenic need</w:t>
      </w:r>
      <w:r w:rsidR="00CE0355">
        <w:t>.</w:t>
      </w:r>
    </w:p>
    <w:p w14:paraId="0F83439B" w14:textId="77777777" w:rsidR="002B1230" w:rsidRDefault="002B1230" w:rsidP="00EC7C24"/>
    <w:p w14:paraId="5F544B8B" w14:textId="784EAB0E" w:rsidR="002B1230" w:rsidRDefault="00395389" w:rsidP="00EC7C24">
      <w:r>
        <w:t>I rated the</w:t>
      </w:r>
      <w:r w:rsidR="00CE0355">
        <w:t xml:space="preserve"> client’s</w:t>
      </w:r>
      <w:r w:rsidR="002B1230" w:rsidRPr="00173C24">
        <w:t xml:space="preserve"> </w:t>
      </w:r>
      <w:r w:rsidR="002B1230">
        <w:rPr>
          <w:b/>
          <w:bCs/>
        </w:rPr>
        <w:t>substance use history</w:t>
      </w:r>
      <w:r w:rsidR="002B1230">
        <w:t xml:space="preserve"> as a </w:t>
      </w:r>
      <w:r w:rsidR="002B1230" w:rsidRPr="002B7C1E">
        <w:rPr>
          <w:highlight w:val="yellow"/>
        </w:rPr>
        <w:t>. . .</w:t>
      </w:r>
      <w:r w:rsidR="002B1230">
        <w:t xml:space="preserve"> criminogenic need, whereas he regarded this factor as a </w:t>
      </w:r>
      <w:r w:rsidR="002B1230" w:rsidRPr="002B7C1E">
        <w:rPr>
          <w:highlight w:val="yellow"/>
        </w:rPr>
        <w:t>. . .</w:t>
      </w:r>
      <w:r w:rsidR="002B1230">
        <w:t xml:space="preserve"> criminogenic need. </w:t>
      </w:r>
      <w:r>
        <w:t>I rated his</w:t>
      </w:r>
      <w:r w:rsidR="002B1230">
        <w:t xml:space="preserve"> </w:t>
      </w:r>
      <w:r w:rsidR="002B1230" w:rsidRPr="002B1230">
        <w:rPr>
          <w:b/>
          <w:bCs/>
        </w:rPr>
        <w:t>education and employment history</w:t>
      </w:r>
      <w:r w:rsidR="002B1230">
        <w:t xml:space="preserve"> as a </w:t>
      </w:r>
      <w:r w:rsidR="002B1230" w:rsidRPr="002B7C1E">
        <w:rPr>
          <w:highlight w:val="yellow"/>
        </w:rPr>
        <w:t>. . .</w:t>
      </w:r>
      <w:r w:rsidR="002B1230">
        <w:t xml:space="preserve"> criminogenic need, whereas he regarded this factor as a </w:t>
      </w:r>
      <w:r w:rsidR="002B1230" w:rsidRPr="002B7C1E">
        <w:rPr>
          <w:highlight w:val="yellow"/>
        </w:rPr>
        <w:t>. . .</w:t>
      </w:r>
      <w:r w:rsidR="002B1230">
        <w:t xml:space="preserve"> criminogenic need. </w:t>
      </w:r>
      <w:r>
        <w:t>I rated his</w:t>
      </w:r>
      <w:r w:rsidR="002B1230">
        <w:t xml:space="preserve"> </w:t>
      </w:r>
      <w:r w:rsidR="002B1230" w:rsidRPr="002B1230">
        <w:rPr>
          <w:b/>
          <w:bCs/>
        </w:rPr>
        <w:t>family and marital functioning</w:t>
      </w:r>
      <w:r w:rsidR="002B1230">
        <w:t xml:space="preserve"> as a </w:t>
      </w:r>
      <w:r w:rsidR="002B1230" w:rsidRPr="002B7C1E">
        <w:rPr>
          <w:highlight w:val="yellow"/>
        </w:rPr>
        <w:t>. . .</w:t>
      </w:r>
      <w:r w:rsidR="002B1230">
        <w:t xml:space="preserve"> criminogenic need, whereas he regarded this factor as a </w:t>
      </w:r>
      <w:r w:rsidR="002B1230" w:rsidRPr="002B7C1E">
        <w:rPr>
          <w:highlight w:val="yellow"/>
        </w:rPr>
        <w:t>. . .</w:t>
      </w:r>
      <w:r w:rsidR="002B1230">
        <w:t xml:space="preserve"> criminogenic need. </w:t>
      </w:r>
      <w:r>
        <w:t>I rated his</w:t>
      </w:r>
      <w:r w:rsidR="002B1230">
        <w:t xml:space="preserve"> </w:t>
      </w:r>
      <w:r w:rsidR="002B1230">
        <w:rPr>
          <w:b/>
          <w:bCs/>
        </w:rPr>
        <w:t>leisure pursuits and use of</w:t>
      </w:r>
      <w:r w:rsidR="002B1230" w:rsidRPr="002B1230">
        <w:rPr>
          <w:b/>
          <w:bCs/>
        </w:rPr>
        <w:t xml:space="preserve"> free time</w:t>
      </w:r>
      <w:r w:rsidR="002B1230">
        <w:t xml:space="preserve"> as a </w:t>
      </w:r>
      <w:r w:rsidR="002B1230" w:rsidRPr="002B7C1E">
        <w:rPr>
          <w:highlight w:val="yellow"/>
        </w:rPr>
        <w:t>. . .</w:t>
      </w:r>
      <w:r w:rsidR="002B1230">
        <w:t xml:space="preserve"> criminogenic need, whereas he regarded this factor as a </w:t>
      </w:r>
      <w:r w:rsidR="002B1230" w:rsidRPr="002B7C1E">
        <w:rPr>
          <w:highlight w:val="yellow"/>
        </w:rPr>
        <w:t>. . .</w:t>
      </w:r>
      <w:r w:rsidR="002B1230">
        <w:t xml:space="preserve"> criminogenic need. </w:t>
      </w:r>
    </w:p>
    <w:p w14:paraId="03A300C9" w14:textId="77777777" w:rsidR="002B1230" w:rsidRDefault="002B1230" w:rsidP="00EC7C24"/>
    <w:p w14:paraId="3A0E5E67" w14:textId="01D9ABC0" w:rsidR="00EC7C24" w:rsidRDefault="00CE0355" w:rsidP="00EC7C24">
      <w:r>
        <w:t>The client’s</w:t>
      </w:r>
      <w:r w:rsidR="002B1230">
        <w:t xml:space="preserve"> overall score on Section 1 of the </w:t>
      </w:r>
      <w:r>
        <w:t xml:space="preserve">Level of Service/Case Management Inventory (LS/CMI) </w:t>
      </w:r>
      <w:r w:rsidR="002B1230">
        <w:t xml:space="preserve">was indicative of a </w:t>
      </w:r>
      <w:r w:rsidR="002B1230" w:rsidRPr="002B7C1E">
        <w:rPr>
          <w:highlight w:val="yellow"/>
        </w:rPr>
        <w:t>. . .</w:t>
      </w:r>
      <w:r w:rsidR="002B1230">
        <w:t xml:space="preserve"> </w:t>
      </w:r>
      <w:r w:rsidR="002B1230" w:rsidRPr="002B1230">
        <w:rPr>
          <w:b/>
          <w:bCs/>
        </w:rPr>
        <w:t>risk for reoffending</w:t>
      </w:r>
      <w:r w:rsidR="002B1230">
        <w:t xml:space="preserve">. He </w:t>
      </w:r>
      <w:r w:rsidR="00EC7C24">
        <w:t xml:space="preserve">rated his risk for reoffending as </w:t>
      </w:r>
      <w:r w:rsidR="001B4FC2" w:rsidRPr="002B7C1E">
        <w:rPr>
          <w:highlight w:val="yellow"/>
        </w:rPr>
        <w:t>. . .</w:t>
      </w:r>
      <w:r w:rsidR="001B4FC2">
        <w:t xml:space="preserve"> </w:t>
      </w:r>
      <w:r w:rsidR="00EC7C24">
        <w:t xml:space="preserve">on the </w:t>
      </w:r>
      <w:r>
        <w:t>Self-Appraisal of Risk and Needs Version 5: Short Form (SARAN V5: SF)</w:t>
      </w:r>
      <w:r w:rsidR="00EC7C24">
        <w:t xml:space="preserve">. </w:t>
      </w:r>
      <w:r w:rsidR="00395389">
        <w:t>One</w:t>
      </w:r>
      <w:r w:rsidR="00124BAA">
        <w:t xml:space="preserve"> </w:t>
      </w:r>
      <w:r w:rsidR="00395389">
        <w:t>goal</w:t>
      </w:r>
      <w:r w:rsidR="00124BAA">
        <w:t xml:space="preserve"> of treatment will be to reduce </w:t>
      </w:r>
      <w:r>
        <w:t>the client’s</w:t>
      </w:r>
      <w:r w:rsidR="000472DA">
        <w:t xml:space="preserve"> </w:t>
      </w:r>
      <w:r w:rsidR="00124BAA" w:rsidRPr="002B1230">
        <w:t>criminogenic risk and needs</w:t>
      </w:r>
      <w:r w:rsidR="00124BAA">
        <w:t>.</w:t>
      </w:r>
      <w:r w:rsidR="00395389">
        <w:t xml:space="preserve"> Skills training will seek to help the client learn and utilize skills to decrease his criminogenic needs, and in turn, his overall </w:t>
      </w:r>
      <w:r w:rsidR="00395389">
        <w:lastRenderedPageBreak/>
        <w:t>risk for reoffending.</w:t>
      </w:r>
      <w:r w:rsidR="006B0092">
        <w:t xml:space="preserve"> </w:t>
      </w:r>
      <w:r w:rsidR="006B0092" w:rsidRPr="006B0092">
        <w:rPr>
          <w:highlight w:val="yellow"/>
        </w:rPr>
        <w:t>[If applicable: Toward this end, in early sessions, I will try to arrive with the client at a more mutually agreed understanding of his areas of criminogenic risk and needs.]</w:t>
      </w:r>
    </w:p>
    <w:p w14:paraId="54485A5A" w14:textId="77777777" w:rsidR="00EC7C24" w:rsidRDefault="00EC7C24" w:rsidP="00EC7C24"/>
    <w:p w14:paraId="76BF0CBA" w14:textId="77777777" w:rsidR="00EC7C24" w:rsidRPr="00906FEA" w:rsidRDefault="00EC7C24" w:rsidP="00EC7C24">
      <w:pPr>
        <w:rPr>
          <w:b/>
          <w:bCs/>
        </w:rPr>
      </w:pPr>
      <w:r w:rsidRPr="00906FEA">
        <w:rPr>
          <w:b/>
          <w:bCs/>
        </w:rPr>
        <w:t>Other relevant factors</w:t>
      </w:r>
    </w:p>
    <w:p w14:paraId="1435B960" w14:textId="77777777" w:rsidR="00EC7C24" w:rsidRDefault="00EC7C24" w:rsidP="00EC7C24"/>
    <w:p w14:paraId="03F2650D" w14:textId="59717F1F" w:rsidR="002B1230" w:rsidRDefault="00CE0355" w:rsidP="00EC7C24">
      <w:r>
        <w:t xml:space="preserve">The client </w:t>
      </w:r>
      <w:r w:rsidR="00EC7C24">
        <w:t xml:space="preserve">endorsed </w:t>
      </w:r>
      <w:r w:rsidR="001B4FC2" w:rsidRPr="002B7C1E">
        <w:rPr>
          <w:highlight w:val="yellow"/>
        </w:rPr>
        <w:t>. . .</w:t>
      </w:r>
      <w:r w:rsidR="001B4FC2">
        <w:t xml:space="preserve"> </w:t>
      </w:r>
      <w:r w:rsidR="001D2F67" w:rsidRPr="001D2F67">
        <w:rPr>
          <w:b/>
          <w:bCs/>
        </w:rPr>
        <w:t>non-criminogenic needs</w:t>
      </w:r>
      <w:r w:rsidR="00EC7C24">
        <w:t xml:space="preserve">: </w:t>
      </w:r>
      <w:r w:rsidR="001B4FC2" w:rsidRPr="002B7C1E">
        <w:rPr>
          <w:highlight w:val="yellow"/>
        </w:rPr>
        <w:t>. . .</w:t>
      </w:r>
      <w:r w:rsidR="00EC7C24">
        <w:t xml:space="preserve"> </w:t>
      </w:r>
      <w:r w:rsidR="00395389">
        <w:t>I will encourage the</w:t>
      </w:r>
      <w:r>
        <w:t xml:space="preserve"> client</w:t>
      </w:r>
      <w:r w:rsidR="00EC7C24">
        <w:t xml:space="preserve"> to seek assistance through </w:t>
      </w:r>
      <w:r w:rsidR="0033170D">
        <w:t>the court</w:t>
      </w:r>
      <w:r w:rsidR="00EC7C24">
        <w:t xml:space="preserve"> for these needs, and </w:t>
      </w:r>
      <w:r w:rsidR="00395389">
        <w:t>I will highlight for the client the</w:t>
      </w:r>
      <w:r w:rsidR="00EC7C24">
        <w:t xml:space="preserve"> extent to which skills training is relevant to these needs</w:t>
      </w:r>
      <w:r>
        <w:t>.</w:t>
      </w:r>
      <w:r w:rsidR="00124BAA">
        <w:t xml:space="preserve"> </w:t>
      </w:r>
    </w:p>
    <w:p w14:paraId="029A0BF9" w14:textId="77777777" w:rsidR="002B1230" w:rsidRDefault="002B1230" w:rsidP="00EC7C24"/>
    <w:p w14:paraId="1062E504" w14:textId="47B4ADA3" w:rsidR="00EC7C24" w:rsidRDefault="0033170D" w:rsidP="00EC7C24">
      <w:r>
        <w:t xml:space="preserve">The client </w:t>
      </w:r>
      <w:r w:rsidR="00124BAA">
        <w:t xml:space="preserve">endorsed </w:t>
      </w:r>
      <w:r w:rsidR="00124BAA" w:rsidRPr="002B7C1E">
        <w:rPr>
          <w:highlight w:val="yellow"/>
        </w:rPr>
        <w:t>. . .</w:t>
      </w:r>
      <w:r w:rsidR="00124BAA">
        <w:t xml:space="preserve"> </w:t>
      </w:r>
      <w:r w:rsidR="00124BAA" w:rsidRPr="00124BAA">
        <w:rPr>
          <w:b/>
          <w:bCs/>
        </w:rPr>
        <w:t>responsivity factors</w:t>
      </w:r>
      <w:r w:rsidR="00124BAA">
        <w:t xml:space="preserve">: </w:t>
      </w:r>
      <w:r w:rsidR="00124BAA" w:rsidRPr="002B7C1E">
        <w:rPr>
          <w:highlight w:val="yellow"/>
        </w:rPr>
        <w:t>. . .</w:t>
      </w:r>
      <w:r w:rsidR="00124BAA">
        <w:t xml:space="preserve"> </w:t>
      </w:r>
      <w:r w:rsidR="002B1230">
        <w:t xml:space="preserve">His score on the </w:t>
      </w:r>
      <w:r w:rsidR="00B7603D">
        <w:t>Test of Premorbid Functioning (TOPF)</w:t>
      </w:r>
      <w:r w:rsidR="001A4432">
        <w:t xml:space="preserve"> </w:t>
      </w:r>
      <w:r w:rsidR="002B1230">
        <w:t xml:space="preserve">was suggestive of an </w:t>
      </w:r>
      <w:r w:rsidR="002B1230" w:rsidRPr="002B7C1E">
        <w:rPr>
          <w:highlight w:val="yellow"/>
        </w:rPr>
        <w:t>. . .</w:t>
      </w:r>
      <w:r w:rsidR="002B1230">
        <w:t xml:space="preserve"> level of </w:t>
      </w:r>
      <w:r w:rsidR="00B7603D">
        <w:rPr>
          <w:b/>
          <w:bCs/>
        </w:rPr>
        <w:t>verbal</w:t>
      </w:r>
      <w:r w:rsidR="002B1230" w:rsidRPr="002B1230">
        <w:rPr>
          <w:b/>
          <w:bCs/>
        </w:rPr>
        <w:t xml:space="preserve"> functioning</w:t>
      </w:r>
      <w:r w:rsidR="002B1230">
        <w:t xml:space="preserve">. </w:t>
      </w:r>
      <w:r w:rsidR="00124BAA">
        <w:t xml:space="preserve">These are issues for which </w:t>
      </w:r>
      <w:r w:rsidR="00395389">
        <w:t>I will seek to</w:t>
      </w:r>
      <w:r w:rsidR="00124BAA">
        <w:t xml:space="preserve"> tailor skills training. </w:t>
      </w:r>
      <w:r>
        <w:t>In addition</w:t>
      </w:r>
      <w:r w:rsidR="00124BAA">
        <w:t xml:space="preserve">, </w:t>
      </w:r>
      <w:r w:rsidR="00CE0355">
        <w:t xml:space="preserve">the client’s </w:t>
      </w:r>
      <w:r w:rsidR="00EC7C24">
        <w:t>total score</w:t>
      </w:r>
      <w:r w:rsidR="00EC7C24" w:rsidRPr="00173C24">
        <w:t xml:space="preserve"> on the </w:t>
      </w:r>
      <w:r w:rsidR="001A4432" w:rsidRPr="001A4432">
        <w:t>Corrections Victoria Treatment Readiness Questionnaire</w:t>
      </w:r>
      <w:r w:rsidR="001A4432">
        <w:t xml:space="preserve"> (CVTRQ) </w:t>
      </w:r>
      <w:r w:rsidR="00EC7C24">
        <w:t xml:space="preserve">was </w:t>
      </w:r>
      <w:r w:rsidR="001B4FC2" w:rsidRPr="002B7C1E">
        <w:rPr>
          <w:highlight w:val="yellow"/>
        </w:rPr>
        <w:t>. . .</w:t>
      </w:r>
      <w:r w:rsidR="00124BAA">
        <w:t xml:space="preserve">; based on the </w:t>
      </w:r>
      <w:r w:rsidR="00EC7C24">
        <w:t>suggested cutoff score for readiness for treatment</w:t>
      </w:r>
      <w:r w:rsidR="00124BAA">
        <w:t xml:space="preserve">, this suggested that he was </w:t>
      </w:r>
      <w:r w:rsidR="00124BAA" w:rsidRPr="00124BAA">
        <w:rPr>
          <w:highlight w:val="yellow"/>
        </w:rPr>
        <w:t xml:space="preserve">. . </w:t>
      </w:r>
      <w:r w:rsidR="00EC7C24" w:rsidRPr="00124BAA">
        <w:rPr>
          <w:highlight w:val="yellow"/>
        </w:rPr>
        <w:t>.</w:t>
      </w:r>
      <w:r w:rsidR="00EC7C24">
        <w:t xml:space="preserve"> </w:t>
      </w:r>
      <w:r w:rsidRPr="0033170D">
        <w:rPr>
          <w:highlight w:val="yellow"/>
        </w:rPr>
        <w:t xml:space="preserve">[If applicable: </w:t>
      </w:r>
      <w:r w:rsidR="00EC7C24" w:rsidRPr="0033170D">
        <w:rPr>
          <w:highlight w:val="yellow"/>
        </w:rPr>
        <w:t xml:space="preserve">Accordingly, </w:t>
      </w:r>
      <w:r w:rsidR="00395389" w:rsidRPr="0033170D">
        <w:rPr>
          <w:highlight w:val="yellow"/>
        </w:rPr>
        <w:t xml:space="preserve">I anticipate that </w:t>
      </w:r>
      <w:r w:rsidR="00EC7C24" w:rsidRPr="0033170D">
        <w:rPr>
          <w:highlight w:val="yellow"/>
        </w:rPr>
        <w:t xml:space="preserve">skills training </w:t>
      </w:r>
      <w:r w:rsidR="00395389" w:rsidRPr="0033170D">
        <w:rPr>
          <w:highlight w:val="yellow"/>
        </w:rPr>
        <w:t>will</w:t>
      </w:r>
      <w:r w:rsidR="00EC7C24" w:rsidRPr="0033170D">
        <w:rPr>
          <w:highlight w:val="yellow"/>
        </w:rPr>
        <w:t xml:space="preserve"> involve </w:t>
      </w:r>
      <w:r w:rsidR="00395389" w:rsidRPr="0033170D">
        <w:rPr>
          <w:highlight w:val="yellow"/>
        </w:rPr>
        <w:t>the</w:t>
      </w:r>
      <w:r w:rsidR="001B4FC2" w:rsidRPr="0033170D">
        <w:rPr>
          <w:highlight w:val="yellow"/>
        </w:rPr>
        <w:t xml:space="preserve"> </w:t>
      </w:r>
      <w:r w:rsidR="00EC7C24" w:rsidRPr="0033170D">
        <w:rPr>
          <w:highlight w:val="yellow"/>
        </w:rPr>
        <w:t xml:space="preserve">use of commitment strategies with </w:t>
      </w:r>
      <w:r w:rsidR="00CE0355" w:rsidRPr="0033170D">
        <w:rPr>
          <w:highlight w:val="yellow"/>
        </w:rPr>
        <w:t>the client.</w:t>
      </w:r>
      <w:r w:rsidRPr="0033170D">
        <w:rPr>
          <w:highlight w:val="yellow"/>
        </w:rPr>
        <w:t>]</w:t>
      </w:r>
    </w:p>
    <w:p w14:paraId="03A20CE0" w14:textId="77777777" w:rsidR="00EC7C24" w:rsidRDefault="00EC7C24" w:rsidP="00EC7C24"/>
    <w:p w14:paraId="45E5F572" w14:textId="661A49BD" w:rsidR="002B1230" w:rsidRDefault="002B1230" w:rsidP="00EC7C24">
      <w:proofErr w:type="spellStart"/>
      <w:r w:rsidRPr="002B1230">
        <w:t>Regrading</w:t>
      </w:r>
      <w:proofErr w:type="spellEnd"/>
      <w:r w:rsidRPr="002B1230">
        <w:t xml:space="preserve"> his </w:t>
      </w:r>
      <w:r w:rsidRPr="002B1230">
        <w:rPr>
          <w:b/>
          <w:bCs/>
        </w:rPr>
        <w:t>coping strategies</w:t>
      </w:r>
      <w:r w:rsidRPr="002B1230">
        <w:t xml:space="preserve">, </w:t>
      </w:r>
      <w:r w:rsidR="00CE0355">
        <w:t xml:space="preserve">the client’s </w:t>
      </w:r>
      <w:r w:rsidR="00124BAA">
        <w:t>score for the skills subscale on the DBT-</w:t>
      </w:r>
      <w:r w:rsidR="001A4432">
        <w:t>Ways of Coping Checklist (DBT-WCCL)</w:t>
      </w:r>
      <w:r w:rsidR="00124BAA">
        <w:t xml:space="preserve"> was </w:t>
      </w:r>
      <w:r w:rsidR="0033170D" w:rsidRPr="0033170D">
        <w:rPr>
          <w:highlight w:val="yellow"/>
        </w:rPr>
        <w:t xml:space="preserve">[normative interpretation, considering the nature of the </w:t>
      </w:r>
      <w:r w:rsidR="0033170D">
        <w:rPr>
          <w:highlight w:val="yellow"/>
        </w:rPr>
        <w:t xml:space="preserve">omnibus </w:t>
      </w:r>
      <w:r w:rsidR="0033170D" w:rsidRPr="0033170D">
        <w:rPr>
          <w:highlight w:val="yellow"/>
        </w:rPr>
        <w:t>reference group]</w:t>
      </w:r>
      <w:r w:rsidR="00124BAA">
        <w:t xml:space="preserve">, suggesting that he </w:t>
      </w:r>
      <w:r w:rsidR="00124BAA" w:rsidRPr="002B7C1E">
        <w:rPr>
          <w:highlight w:val="yellow"/>
        </w:rPr>
        <w:t>. . .</w:t>
      </w:r>
      <w:r w:rsidR="00124BAA">
        <w:t xml:space="preserve"> effective coping skills. His combined dysfunctional coping subscale </w:t>
      </w:r>
      <w:r w:rsidR="00085D5F">
        <w:t xml:space="preserve">(general dysfunctional coping and blaming others) </w:t>
      </w:r>
      <w:r w:rsidR="00124BAA">
        <w:t xml:space="preserve">score was </w:t>
      </w:r>
      <w:r w:rsidR="0033170D" w:rsidRPr="0033170D">
        <w:rPr>
          <w:highlight w:val="yellow"/>
        </w:rPr>
        <w:t xml:space="preserve">[normative interpretation, considering the nature of the </w:t>
      </w:r>
      <w:r w:rsidR="0033170D">
        <w:rPr>
          <w:highlight w:val="yellow"/>
        </w:rPr>
        <w:t xml:space="preserve">omnibus </w:t>
      </w:r>
      <w:r w:rsidR="0033170D" w:rsidRPr="0033170D">
        <w:rPr>
          <w:highlight w:val="yellow"/>
        </w:rPr>
        <w:t>reference group]</w:t>
      </w:r>
      <w:r w:rsidR="00124BAA">
        <w:t xml:space="preserve">, suggesting that he </w:t>
      </w:r>
      <w:r w:rsidR="00124BAA" w:rsidRPr="002B7C1E">
        <w:rPr>
          <w:highlight w:val="yellow"/>
        </w:rPr>
        <w:t>. . .</w:t>
      </w:r>
      <w:r w:rsidR="00124BAA">
        <w:t xml:space="preserve"> ineffective coping strategies. </w:t>
      </w:r>
      <w:r w:rsidR="00395389">
        <w:t>An instrumental goal of treatment will be</w:t>
      </w:r>
      <w:r w:rsidR="00124BAA">
        <w:t xml:space="preserve"> to increase </w:t>
      </w:r>
      <w:r w:rsidR="00CE0355">
        <w:t>the client’s</w:t>
      </w:r>
      <w:r w:rsidR="00124BAA">
        <w:t xml:space="preserve"> insight into and practice of effective coping skills in lieu of ineffective coping strategies.</w:t>
      </w:r>
    </w:p>
    <w:p w14:paraId="57F5E9C2" w14:textId="77777777" w:rsidR="002B1230" w:rsidRDefault="002B1230" w:rsidP="00EC7C24"/>
    <w:p w14:paraId="7AD48F50" w14:textId="29BD5192" w:rsidR="00EC7C24" w:rsidRPr="00124BAA" w:rsidRDefault="00CE0355" w:rsidP="00EC7C24">
      <w:r>
        <w:t>The client’s</w:t>
      </w:r>
      <w:r w:rsidR="00EC7C24">
        <w:t xml:space="preserve"> valued living composite score on the </w:t>
      </w:r>
      <w:r w:rsidR="001A4432">
        <w:t>Valued Living Questionnaire (</w:t>
      </w:r>
      <w:r w:rsidR="00EC7C24">
        <w:t>VLQ</w:t>
      </w:r>
      <w:r w:rsidR="001A4432">
        <w:t>)</w:t>
      </w:r>
      <w:r w:rsidR="00EC7C24">
        <w:t xml:space="preserve"> was </w:t>
      </w:r>
      <w:r w:rsidR="0033170D" w:rsidRPr="0033170D">
        <w:rPr>
          <w:highlight w:val="yellow"/>
        </w:rPr>
        <w:t>[normative interpretation, considering the nature of the reference group]</w:t>
      </w:r>
      <w:r w:rsidR="00EC7C24">
        <w:t xml:space="preserve">, which suggests that he is currently living out personal values in his everyday life to a </w:t>
      </w:r>
      <w:r w:rsidR="001B4FC2" w:rsidRPr="002B7C1E">
        <w:rPr>
          <w:highlight w:val="yellow"/>
        </w:rPr>
        <w:t>. . .</w:t>
      </w:r>
      <w:r w:rsidR="001B4FC2">
        <w:t xml:space="preserve"> </w:t>
      </w:r>
      <w:r w:rsidR="00EC7C24">
        <w:t xml:space="preserve">extent. </w:t>
      </w:r>
      <w:r w:rsidR="00395389">
        <w:t xml:space="preserve">A goal of treatment will be to increase the client’s </w:t>
      </w:r>
      <w:r w:rsidR="00395389" w:rsidRPr="00B93C18">
        <w:rPr>
          <w:b/>
          <w:bCs/>
        </w:rPr>
        <w:t>values-based living</w:t>
      </w:r>
      <w:r w:rsidR="00395389">
        <w:t xml:space="preserve">. </w:t>
      </w:r>
      <w:r w:rsidR="00EC7C24">
        <w:t xml:space="preserve">Skills training will seek to increase </w:t>
      </w:r>
      <w:r>
        <w:t>the client’s</w:t>
      </w:r>
      <w:r w:rsidR="00EC7C24">
        <w:t xml:space="preserve"> clarity about his priority values and the extent to which he lives his daily life in accordance with those values.</w:t>
      </w:r>
    </w:p>
    <w:p w14:paraId="239C3630" w14:textId="77777777" w:rsidR="006B0092" w:rsidRDefault="006B0092" w:rsidP="004C7EF4">
      <w:pPr>
        <w:sectPr w:rsidR="006B00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D734AB" w14:textId="36D4C30A" w:rsidR="001A1B9F" w:rsidRPr="001A1B9F" w:rsidRDefault="005F0E22" w:rsidP="004C7EF4">
      <w:pPr>
        <w:rPr>
          <w:b/>
          <w:bCs/>
        </w:rPr>
      </w:pPr>
      <w:r>
        <w:rPr>
          <w:b/>
          <w:bCs/>
        </w:rPr>
        <w:lastRenderedPageBreak/>
        <w:t>Treatment Plan</w:t>
      </w:r>
    </w:p>
    <w:p w14:paraId="58D2F6E1" w14:textId="14305DA6" w:rsidR="001A1B9F" w:rsidRDefault="001A1B9F" w:rsidP="004C7EF4"/>
    <w:p w14:paraId="321EB403" w14:textId="621A8908" w:rsidR="00124BAA" w:rsidRDefault="00395389" w:rsidP="004C7EF4">
      <w:r>
        <w:t>T</w:t>
      </w:r>
      <w:r w:rsidR="00CE0355">
        <w:t>he client’s</w:t>
      </w:r>
      <w:r w:rsidR="00817FC7">
        <w:t xml:space="preserve"> problem areas </w:t>
      </w:r>
      <w:r>
        <w:t xml:space="preserve">likely </w:t>
      </w:r>
      <w:r w:rsidR="00817FC7">
        <w:t xml:space="preserve">stem from the interaction of historical and current biological and social factors, that have resulted in aspects of behavioral, emotional, interpersonal, cognitive, and </w:t>
      </w:r>
      <w:r>
        <w:t>self-dysfunction</w:t>
      </w:r>
      <w:r w:rsidR="00817FC7">
        <w:t>. Some of the results of these areas of dysregulation, in the past and at present, are his criminogenic and non-criminogenic needs, and risk for reoffending.</w:t>
      </w:r>
      <w:r w:rsidR="00124BAA">
        <w:t xml:space="preserve"> Accordingly, </w:t>
      </w:r>
      <w:r w:rsidR="00CE0355">
        <w:t>the client</w:t>
      </w:r>
      <w:r w:rsidR="005F0E22">
        <w:t xml:space="preserve"> </w:t>
      </w:r>
      <w:r>
        <w:t>will participate in</w:t>
      </w:r>
      <w:r w:rsidR="005F0E22">
        <w:t xml:space="preserve"> 12 </w:t>
      </w:r>
      <w:r>
        <w:t xml:space="preserve">telehealth </w:t>
      </w:r>
      <w:r w:rsidR="005F0E22">
        <w:t xml:space="preserve">sessions of individual </w:t>
      </w:r>
      <w:r w:rsidR="00297370">
        <w:t>DBT</w:t>
      </w:r>
      <w:r w:rsidR="005F0E22">
        <w:t xml:space="preserve"> skills training.</w:t>
      </w:r>
      <w:r w:rsidR="00A807E6">
        <w:t xml:space="preserve"> </w:t>
      </w:r>
      <w:r>
        <w:t>I will teach him</w:t>
      </w:r>
      <w:r w:rsidR="00297370">
        <w:t xml:space="preserve"> skills in the following domains: behavioral analysis, dialectical thinking, mindfulness, distress tolerance, interpersonal effectiveness, and emotional regulation. </w:t>
      </w:r>
      <w:r w:rsidR="00370EE3">
        <w:t xml:space="preserve">As part of his skills training, </w:t>
      </w:r>
      <w:r>
        <w:t>I will direct the</w:t>
      </w:r>
      <w:r w:rsidR="00CE0355">
        <w:t xml:space="preserve"> client </w:t>
      </w:r>
      <w:r w:rsidR="00CB77C4">
        <w:t xml:space="preserve">to </w:t>
      </w:r>
      <w:r w:rsidR="00370EE3">
        <w:t xml:space="preserve">utilize a digital or paper diary card and a mindfulness application for his mobile phone. </w:t>
      </w:r>
      <w:r>
        <w:t>I</w:t>
      </w:r>
      <w:r w:rsidR="00A807E6">
        <w:t xml:space="preserve"> will also be available to </w:t>
      </w:r>
      <w:r w:rsidR="00126D7F">
        <w:t>him</w:t>
      </w:r>
      <w:r w:rsidR="00370EE3">
        <w:t xml:space="preserve"> </w:t>
      </w:r>
      <w:r w:rsidR="00A807E6">
        <w:t xml:space="preserve">for phone coaching </w:t>
      </w:r>
      <w:r w:rsidR="00CB77C4">
        <w:t xml:space="preserve">and crisis intervention </w:t>
      </w:r>
      <w:r w:rsidR="00A807E6">
        <w:t>as needed</w:t>
      </w:r>
      <w:r w:rsidR="00370EE3">
        <w:t>, to help him generalize skills to his everyday life</w:t>
      </w:r>
      <w:r w:rsidR="00A807E6">
        <w:t xml:space="preserve">. </w:t>
      </w:r>
      <w:r w:rsidR="00CB77C4">
        <w:t xml:space="preserve">Moreover, </w:t>
      </w:r>
      <w:r>
        <w:t>I will encourage the client</w:t>
      </w:r>
      <w:r w:rsidR="00CB77C4">
        <w:t xml:space="preserve"> to invite social supports (e.g., a spouse or family member) to some of </w:t>
      </w:r>
      <w:r>
        <w:t>the</w:t>
      </w:r>
      <w:r w:rsidR="00CB77C4">
        <w:t xml:space="preserve"> sessions. </w:t>
      </w:r>
      <w:r>
        <w:t>I will monitor the client’s</w:t>
      </w:r>
      <w:r w:rsidR="00297370">
        <w:t xml:space="preserve"> attendance and participation</w:t>
      </w:r>
      <w:r>
        <w:t xml:space="preserve">; this information will </w:t>
      </w:r>
      <w:proofErr w:type="gramStart"/>
      <w:r>
        <w:t xml:space="preserve">be </w:t>
      </w:r>
      <w:r w:rsidR="00297370">
        <w:t>shared</w:t>
      </w:r>
      <w:proofErr w:type="gramEnd"/>
      <w:r w:rsidR="00297370">
        <w:t xml:space="preserve"> </w:t>
      </w:r>
      <w:r w:rsidR="00370EE3">
        <w:t xml:space="preserve">with </w:t>
      </w:r>
      <w:r w:rsidR="0033170D">
        <w:t>court</w:t>
      </w:r>
      <w:r w:rsidR="00370EE3">
        <w:t xml:space="preserve"> staff every two weeks</w:t>
      </w:r>
      <w:r w:rsidR="00297370">
        <w:t>.</w:t>
      </w:r>
    </w:p>
    <w:p w14:paraId="387D7572" w14:textId="77777777" w:rsidR="00124BAA" w:rsidRDefault="00124BAA" w:rsidP="004C7EF4"/>
    <w:p w14:paraId="424E6351" w14:textId="7CD9A9BB" w:rsidR="005F0E22" w:rsidRDefault="00124BAA" w:rsidP="005F0E22">
      <w:r>
        <w:t xml:space="preserve">If </w:t>
      </w:r>
      <w:r w:rsidR="00CE0355">
        <w:t>the client</w:t>
      </w:r>
      <w:r>
        <w:t xml:space="preserve"> is </w:t>
      </w:r>
      <w:r w:rsidRPr="00173C24">
        <w:t xml:space="preserve">responsive to the skills training, </w:t>
      </w:r>
      <w:r w:rsidR="00395389">
        <w:t>I anticipate</w:t>
      </w:r>
      <w:r w:rsidRPr="00173C24">
        <w:t xml:space="preserve"> that his increased knowledge and use of the skills—in place of long-term ineffective behaviors—will help him to reduce his overall risk for reoffending and lead a more successful </w:t>
      </w:r>
      <w:r>
        <w:t xml:space="preserve">life in accordance with his personal values. </w:t>
      </w:r>
      <w:r w:rsidR="00CE0355">
        <w:t>The client</w:t>
      </w:r>
      <w:r w:rsidR="00A807E6">
        <w:t xml:space="preserve"> </w:t>
      </w:r>
      <w:r w:rsidR="005F0E22">
        <w:t>will receive credit</w:t>
      </w:r>
      <w:r w:rsidR="00A807E6">
        <w:t xml:space="preserve"> from the </w:t>
      </w:r>
      <w:r w:rsidR="0033170D">
        <w:t>court</w:t>
      </w:r>
      <w:r w:rsidR="005F0E22">
        <w:t xml:space="preserve"> for completing 6 of these session</w:t>
      </w:r>
      <w:r w:rsidR="00A807E6">
        <w:t>s</w:t>
      </w:r>
      <w:r>
        <w:t xml:space="preserve">, and then </w:t>
      </w:r>
      <w:r w:rsidR="00A807E6">
        <w:t>additional</w:t>
      </w:r>
      <w:r w:rsidR="005F0E22">
        <w:t xml:space="preserve"> credit</w:t>
      </w:r>
      <w:r w:rsidR="00A807E6">
        <w:t xml:space="preserve"> </w:t>
      </w:r>
      <w:r w:rsidR="005F0E22">
        <w:t>for completing all 12 sessions.</w:t>
      </w:r>
    </w:p>
    <w:p w14:paraId="1BA31B05" w14:textId="5B505792" w:rsidR="001A1B9F" w:rsidRDefault="001A1B9F" w:rsidP="004C7EF4"/>
    <w:p w14:paraId="343C6431" w14:textId="0BDC71B6" w:rsidR="001A1B9F" w:rsidRDefault="001A1B9F" w:rsidP="004C7E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1B9F" w14:paraId="6A4B7292" w14:textId="77777777" w:rsidTr="001A1B9F">
        <w:tc>
          <w:tcPr>
            <w:tcW w:w="4675" w:type="dxa"/>
            <w:vMerge w:val="restart"/>
          </w:tcPr>
          <w:p w14:paraId="3AE8BE37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  <w:tcBorders>
              <w:bottom w:val="single" w:sz="6" w:space="0" w:color="auto"/>
            </w:tcBorders>
          </w:tcPr>
          <w:p w14:paraId="0DD61E0C" w14:textId="1EA88A79" w:rsidR="001A1B9F" w:rsidRDefault="001A1B9F" w:rsidP="001A1B9F">
            <w:pPr>
              <w:jc w:val="center"/>
            </w:pPr>
            <w:r>
              <w:t xml:space="preserve">/s/ </w:t>
            </w:r>
            <w:r w:rsidRPr="00126D7F">
              <w:rPr>
                <w:highlight w:val="yellow"/>
              </w:rPr>
              <w:t>Name</w:t>
            </w:r>
          </w:p>
        </w:tc>
      </w:tr>
      <w:tr w:rsidR="001A1B9F" w14:paraId="7944AB52" w14:textId="77777777" w:rsidTr="001A1B9F">
        <w:tc>
          <w:tcPr>
            <w:tcW w:w="4675" w:type="dxa"/>
            <w:vMerge/>
          </w:tcPr>
          <w:p w14:paraId="6B773E6D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  <w:tcBorders>
              <w:top w:val="single" w:sz="6" w:space="0" w:color="auto"/>
            </w:tcBorders>
          </w:tcPr>
          <w:p w14:paraId="58A2D14F" w14:textId="0C2D22F1" w:rsidR="001A1B9F" w:rsidRDefault="001A1B9F" w:rsidP="001A1B9F">
            <w:pPr>
              <w:jc w:val="right"/>
            </w:pPr>
            <w:r w:rsidRPr="00126D7F">
              <w:rPr>
                <w:highlight w:val="yellow"/>
              </w:rPr>
              <w:t>Name, Degree</w:t>
            </w:r>
          </w:p>
        </w:tc>
      </w:tr>
      <w:tr w:rsidR="001A1B9F" w14:paraId="7F358458" w14:textId="77777777" w:rsidTr="001A1B9F">
        <w:tc>
          <w:tcPr>
            <w:tcW w:w="4675" w:type="dxa"/>
            <w:vMerge/>
          </w:tcPr>
          <w:p w14:paraId="5A6D7102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</w:tcPr>
          <w:p w14:paraId="33953C42" w14:textId="4BE17848" w:rsidR="001A1B9F" w:rsidRDefault="001A1B9F" w:rsidP="001A1B9F">
            <w:pPr>
              <w:jc w:val="right"/>
            </w:pPr>
            <w:r>
              <w:t>Student therapist</w:t>
            </w:r>
          </w:p>
        </w:tc>
      </w:tr>
    </w:tbl>
    <w:p w14:paraId="230318A7" w14:textId="77777777" w:rsidR="001A1B9F" w:rsidRDefault="001A1B9F" w:rsidP="001A1B9F">
      <w:pPr>
        <w:jc w:val="right"/>
      </w:pPr>
    </w:p>
    <w:sectPr w:rsidR="001A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FDDF" w14:textId="77777777" w:rsidR="00934F79" w:rsidRDefault="00934F79" w:rsidP="007F1941">
      <w:r>
        <w:separator/>
      </w:r>
    </w:p>
  </w:endnote>
  <w:endnote w:type="continuationSeparator" w:id="0">
    <w:p w14:paraId="4D648405" w14:textId="77777777" w:rsidR="00934F79" w:rsidRDefault="00934F79" w:rsidP="007F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ABC8" w14:textId="77777777" w:rsidR="009F11E6" w:rsidRDefault="009F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0554" w14:textId="4515E937" w:rsidR="009F11E6" w:rsidRDefault="009F11E6" w:rsidP="009F11E6">
    <w:pPr>
      <w:pStyle w:val="Footer"/>
      <w:jc w:val="center"/>
    </w:pPr>
    <w:r>
      <w:t xml:space="preserve">CONTACT </w:t>
    </w:r>
    <w:hyperlink r:id="rId1" w:history="1">
      <w:r w:rsidRPr="001F3302">
        <w:rPr>
          <w:rStyle w:val="Hyperlink"/>
        </w:rPr>
        <w:t>CHRISTOPHER M. KING, JD, PHD</w:t>
      </w:r>
    </w:hyperlink>
    <w:r>
      <w:t>, FOR PERMISSION TO USE OR CITE.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1DA8" w14:textId="77777777" w:rsidR="009F11E6" w:rsidRDefault="009F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B25" w14:textId="77777777" w:rsidR="00934F79" w:rsidRDefault="00934F79" w:rsidP="007F1941">
      <w:r>
        <w:separator/>
      </w:r>
    </w:p>
  </w:footnote>
  <w:footnote w:type="continuationSeparator" w:id="0">
    <w:p w14:paraId="35F764DA" w14:textId="77777777" w:rsidR="00934F79" w:rsidRDefault="00934F79" w:rsidP="007F1941">
      <w:r>
        <w:continuationSeparator/>
      </w:r>
    </w:p>
  </w:footnote>
  <w:footnote w:id="1">
    <w:p w14:paraId="30298C1E" w14:textId="77777777" w:rsidR="006B63A9" w:rsidRDefault="006B63A9" w:rsidP="006B63A9">
      <w:pPr>
        <w:pStyle w:val="FootnoteText"/>
      </w:pPr>
      <w:r>
        <w:rPr>
          <w:rStyle w:val="FootnoteReference"/>
        </w:rPr>
        <w:footnoteRef/>
      </w:r>
      <w:r>
        <w:t xml:space="preserve"> Andrews, D. A., Bonta, J. L., &amp; </w:t>
      </w:r>
      <w:proofErr w:type="spellStart"/>
      <w:r>
        <w:t>Wormith</w:t>
      </w:r>
      <w:proofErr w:type="spellEnd"/>
      <w:r>
        <w:t xml:space="preserve">, J. S. (2004). </w:t>
      </w:r>
      <w:r w:rsidRPr="0085164B">
        <w:rPr>
          <w:i/>
          <w:iCs/>
        </w:rPr>
        <w:t>Level of Service/Case Management Inventory (LS/CMI</w:t>
      </w:r>
      <w:r w:rsidRPr="0085164B">
        <w:rPr>
          <w:i/>
          <w:iCs/>
          <w:vertAlign w:val="superscript"/>
        </w:rPr>
        <w:t>TM</w:t>
      </w:r>
      <w:r w:rsidRPr="0085164B">
        <w:rPr>
          <w:i/>
          <w:iCs/>
        </w:rPr>
        <w:t>): An offender assessment system</w:t>
      </w:r>
      <w:r>
        <w:t>. Multi-Health Systems. [male and female probationers and male inmates released from prison]</w:t>
      </w:r>
    </w:p>
  </w:footnote>
  <w:footnote w:id="2">
    <w:p w14:paraId="5B08CBA3" w14:textId="43572897" w:rsidR="001A65FF" w:rsidRDefault="001A6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0355">
        <w:t xml:space="preserve">King, C. M. (n.d.). </w:t>
      </w:r>
      <w:r w:rsidR="00CE0355" w:rsidRPr="00CE0355">
        <w:rPr>
          <w:i/>
          <w:iCs/>
        </w:rPr>
        <w:t>Self-Appraisal of Risk and Needs Version 5: Short Form</w:t>
      </w:r>
      <w:r w:rsidR="00CE0355">
        <w:t>. Unpublished measure. Montclair State University.</w:t>
      </w:r>
      <w:r w:rsidR="0069647F">
        <w:t xml:space="preserve"> [no comparison group]</w:t>
      </w:r>
    </w:p>
  </w:footnote>
  <w:footnote w:id="3">
    <w:p w14:paraId="69D7AB90" w14:textId="77777777" w:rsidR="001A65FF" w:rsidRDefault="001A65FF" w:rsidP="007F1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5137">
        <w:t xml:space="preserve">Christian, E., &amp; </w:t>
      </w:r>
      <w:proofErr w:type="spellStart"/>
      <w:r w:rsidRPr="00905137">
        <w:t>Sellbom</w:t>
      </w:r>
      <w:proofErr w:type="spellEnd"/>
      <w:r w:rsidRPr="00905137">
        <w:t xml:space="preserve">, M. (2016). Development and </w:t>
      </w:r>
      <w:r>
        <w:t>v</w:t>
      </w:r>
      <w:r w:rsidRPr="00905137">
        <w:t xml:space="preserve">alidation of an </w:t>
      </w:r>
      <w:r>
        <w:t>e</w:t>
      </w:r>
      <w:r w:rsidRPr="00905137">
        <w:t xml:space="preserve">xpanded </w:t>
      </w:r>
      <w:r>
        <w:t>v</w:t>
      </w:r>
      <w:r w:rsidRPr="00905137">
        <w:t xml:space="preserve">ersion of the </w:t>
      </w:r>
      <w:r>
        <w:t>t</w:t>
      </w:r>
      <w:r w:rsidRPr="00905137">
        <w:t>hree-</w:t>
      </w:r>
      <w:r>
        <w:t>f</w:t>
      </w:r>
      <w:r w:rsidRPr="00905137">
        <w:t xml:space="preserve">actor Levenson Self-Report Psychopathy Scale. </w:t>
      </w:r>
      <w:r w:rsidRPr="0085164B">
        <w:rPr>
          <w:i/>
          <w:iCs/>
        </w:rPr>
        <w:t>Journal of Personality Assessment, 98</w:t>
      </w:r>
      <w:r w:rsidRPr="00905137">
        <w:t>(2), 155–168. https://doi.org/10.1080/00223891.2015.1068176</w:t>
      </w:r>
      <w:r>
        <w:t xml:space="preserve"> [Australian community participants]</w:t>
      </w:r>
    </w:p>
  </w:footnote>
  <w:footnote w:id="4">
    <w:p w14:paraId="014AFFFC" w14:textId="77777777" w:rsidR="001A65FF" w:rsidRDefault="001A65FF" w:rsidP="007F1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075">
        <w:t>Casey, S., Day, A., Howells, K., &amp; Ward, T. (2007). Assessing suitability for offender rehabilitation: Development and validation of the Treatment Readiness Questionnaire. </w:t>
      </w:r>
      <w:r w:rsidRPr="00B15075">
        <w:rPr>
          <w:i/>
          <w:iCs/>
        </w:rPr>
        <w:t>Criminal Justice and Behavior, 34</w:t>
      </w:r>
      <w:r w:rsidRPr="00B15075">
        <w:t>(11), 1427–1440. </w:t>
      </w:r>
      <w:r w:rsidRPr="0085164B">
        <w:t>https://doi.org/10.1177/0093854807305827</w:t>
      </w:r>
      <w:r>
        <w:t xml:space="preserve"> [justice-involved Australian persons in community and prison settings]</w:t>
      </w:r>
    </w:p>
  </w:footnote>
  <w:footnote w:id="5">
    <w:p w14:paraId="488BA949" w14:textId="5C16E85C" w:rsidR="00857BD6" w:rsidRDefault="00857BD6" w:rsidP="00857BD6">
      <w:pPr>
        <w:pStyle w:val="FootnoteText"/>
      </w:pPr>
      <w:r>
        <w:rPr>
          <w:rStyle w:val="FootnoteReference"/>
        </w:rPr>
        <w:footnoteRef/>
      </w:r>
      <w:r>
        <w:t xml:space="preserve"> NCS Pearson, Inc. (2009). </w:t>
      </w:r>
      <w:r w:rsidRPr="00B7603D">
        <w:rPr>
          <w:i/>
          <w:iCs/>
        </w:rPr>
        <w:t>Advanced Clinical Solutions for WAIS-IV and WMS-IV: Administration and scoring manual</w:t>
      </w:r>
      <w:r w:rsidR="0069647F">
        <w:t>. [similarly aged persons in the community]</w:t>
      </w:r>
    </w:p>
  </w:footnote>
  <w:footnote w:id="6">
    <w:p w14:paraId="1A0A6E32" w14:textId="77777777" w:rsidR="001A65FF" w:rsidRDefault="001A65FF" w:rsidP="007F1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54A78">
        <w:t>Neacsiu</w:t>
      </w:r>
      <w:proofErr w:type="spellEnd"/>
      <w:r w:rsidRPr="00254A78">
        <w:t xml:space="preserve">, A. D., Rizvi, S. L., Vitaliano, P. P., Lynch, T. R., &amp; Linehan, M. M. (2010). The </w:t>
      </w:r>
      <w:r>
        <w:t>D</w:t>
      </w:r>
      <w:r w:rsidRPr="00254A78">
        <w:t xml:space="preserve">ialectical </w:t>
      </w:r>
      <w:r>
        <w:t>B</w:t>
      </w:r>
      <w:r w:rsidRPr="00254A78">
        <w:t xml:space="preserve">ehavior </w:t>
      </w:r>
      <w:r>
        <w:t>T</w:t>
      </w:r>
      <w:r w:rsidRPr="00254A78">
        <w:t xml:space="preserve">herapy </w:t>
      </w:r>
      <w:r>
        <w:t>W</w:t>
      </w:r>
      <w:r w:rsidRPr="00254A78">
        <w:t xml:space="preserve">ays of </w:t>
      </w:r>
      <w:r>
        <w:t>C</w:t>
      </w:r>
      <w:r w:rsidRPr="00254A78">
        <w:t xml:space="preserve">oping </w:t>
      </w:r>
      <w:r>
        <w:t>C</w:t>
      </w:r>
      <w:r w:rsidRPr="00254A78">
        <w:t xml:space="preserve">hecklist: </w:t>
      </w:r>
      <w:r>
        <w:t>D</w:t>
      </w:r>
      <w:r w:rsidRPr="00254A78">
        <w:t>evelopment and psychometric properties. </w:t>
      </w:r>
      <w:r w:rsidRPr="00254A78">
        <w:rPr>
          <w:i/>
          <w:iCs/>
        </w:rPr>
        <w:t xml:space="preserve">Journal of </w:t>
      </w:r>
      <w:r>
        <w:rPr>
          <w:i/>
          <w:iCs/>
        </w:rPr>
        <w:t>C</w:t>
      </w:r>
      <w:r w:rsidRPr="00254A78">
        <w:rPr>
          <w:i/>
          <w:iCs/>
        </w:rPr>
        <w:t xml:space="preserve">linical </w:t>
      </w:r>
      <w:r>
        <w:rPr>
          <w:i/>
          <w:iCs/>
        </w:rPr>
        <w:t>P</w:t>
      </w:r>
      <w:r w:rsidRPr="00254A78">
        <w:rPr>
          <w:i/>
          <w:iCs/>
        </w:rPr>
        <w:t>sychology</w:t>
      </w:r>
      <w:r w:rsidRPr="00254A78">
        <w:t>, </w:t>
      </w:r>
      <w:r w:rsidRPr="00254A78">
        <w:rPr>
          <w:i/>
          <w:iCs/>
        </w:rPr>
        <w:t>66</w:t>
      </w:r>
      <w:r w:rsidRPr="00254A78">
        <w:t>(6), 563–582. https://doi.org/10.1002/jclp.20685</w:t>
      </w:r>
      <w:r>
        <w:t xml:space="preserve"> [ad-hoc calculated averages across all five cohorts of women in different treatments with borderline personality disorder or borderline personality disorder and drug dependence]</w:t>
      </w:r>
    </w:p>
  </w:footnote>
  <w:footnote w:id="7">
    <w:p w14:paraId="384C3368" w14:textId="77777777" w:rsidR="006B63A9" w:rsidRDefault="006B63A9" w:rsidP="006B6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49E">
        <w:t>Wilson, K. G., Sandoz, E. K., Kitchens, J., &amp; Roberts, M. (2010). The Valued Living Questionnaire: Defining and measuring valued action within a behavioral framework. </w:t>
      </w:r>
      <w:r w:rsidRPr="0036449E">
        <w:rPr>
          <w:i/>
          <w:iCs/>
        </w:rPr>
        <w:t>The Psychological Record, 60</w:t>
      </w:r>
      <w:r w:rsidRPr="0036449E">
        <w:t>(2), 249–272. </w:t>
      </w:r>
      <w:r w:rsidRPr="0085164B">
        <w:t>https://doi.org/10.1007/BF03395706</w:t>
      </w:r>
      <w:r>
        <w:t xml:space="preserve"> [undergraduate students]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440" w14:textId="77777777" w:rsidR="009F11E6" w:rsidRDefault="009F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1475" w14:textId="1AA584FE" w:rsidR="009F11E6" w:rsidRDefault="009F11E6" w:rsidP="009F11E6">
    <w:pPr>
      <w:pStyle w:val="Header"/>
      <w:jc w:val="center"/>
    </w:pPr>
    <w:r w:rsidRPr="00133957">
      <w:t>M</w:t>
    </w:r>
    <w:r>
      <w:t>ontclair State University</w:t>
    </w:r>
    <w:r w:rsidRPr="00133957">
      <w:t xml:space="preserve"> Telehealth DBT Individual Skills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3B3A" w14:textId="77777777" w:rsidR="009F11E6" w:rsidRDefault="009F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E8"/>
    <w:multiLevelType w:val="hybridMultilevel"/>
    <w:tmpl w:val="D388873A"/>
    <w:lvl w:ilvl="0" w:tplc="3C782DCE">
      <w:start w:val="1"/>
      <w:numFmt w:val="decimal"/>
      <w:pStyle w:val="Styl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77205"/>
    <w:multiLevelType w:val="hybridMultilevel"/>
    <w:tmpl w:val="13A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8DF"/>
    <w:multiLevelType w:val="hybridMultilevel"/>
    <w:tmpl w:val="84B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63E"/>
    <w:multiLevelType w:val="hybridMultilevel"/>
    <w:tmpl w:val="096E137E"/>
    <w:lvl w:ilvl="0" w:tplc="0F7E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6251"/>
    <w:multiLevelType w:val="hybridMultilevel"/>
    <w:tmpl w:val="F648C90C"/>
    <w:lvl w:ilvl="0" w:tplc="55309D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1705">
    <w:abstractNumId w:val="0"/>
  </w:num>
  <w:num w:numId="2" w16cid:durableId="265845265">
    <w:abstractNumId w:val="3"/>
  </w:num>
  <w:num w:numId="3" w16cid:durableId="100298947">
    <w:abstractNumId w:val="3"/>
  </w:num>
  <w:num w:numId="4" w16cid:durableId="2131821476">
    <w:abstractNumId w:val="3"/>
  </w:num>
  <w:num w:numId="5" w16cid:durableId="633028743">
    <w:abstractNumId w:val="2"/>
  </w:num>
  <w:num w:numId="6" w16cid:durableId="644819543">
    <w:abstractNumId w:val="4"/>
  </w:num>
  <w:num w:numId="7" w16cid:durableId="9640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4"/>
    <w:rsid w:val="000371ED"/>
    <w:rsid w:val="000472DA"/>
    <w:rsid w:val="00054638"/>
    <w:rsid w:val="00064BED"/>
    <w:rsid w:val="00085D5F"/>
    <w:rsid w:val="000E72F6"/>
    <w:rsid w:val="000F6232"/>
    <w:rsid w:val="00102D54"/>
    <w:rsid w:val="00124BAA"/>
    <w:rsid w:val="00126D7F"/>
    <w:rsid w:val="00137CF6"/>
    <w:rsid w:val="001A1B9F"/>
    <w:rsid w:val="001A2F40"/>
    <w:rsid w:val="001A4432"/>
    <w:rsid w:val="001A65FF"/>
    <w:rsid w:val="001B4FC2"/>
    <w:rsid w:val="001C6154"/>
    <w:rsid w:val="001C6C88"/>
    <w:rsid w:val="001D0BC2"/>
    <w:rsid w:val="001D2F67"/>
    <w:rsid w:val="001E1933"/>
    <w:rsid w:val="001E50DA"/>
    <w:rsid w:val="001F0CC5"/>
    <w:rsid w:val="00276CE1"/>
    <w:rsid w:val="00297370"/>
    <w:rsid w:val="002B1230"/>
    <w:rsid w:val="002B7C1E"/>
    <w:rsid w:val="002D7E0D"/>
    <w:rsid w:val="0031420B"/>
    <w:rsid w:val="003155E1"/>
    <w:rsid w:val="00321E50"/>
    <w:rsid w:val="0033170D"/>
    <w:rsid w:val="00370EE3"/>
    <w:rsid w:val="00395389"/>
    <w:rsid w:val="003E3C4C"/>
    <w:rsid w:val="00400419"/>
    <w:rsid w:val="004A0EF3"/>
    <w:rsid w:val="004C08F4"/>
    <w:rsid w:val="004C7EF4"/>
    <w:rsid w:val="004F0F5C"/>
    <w:rsid w:val="005838AB"/>
    <w:rsid w:val="005A5B20"/>
    <w:rsid w:val="005B021C"/>
    <w:rsid w:val="005B22A3"/>
    <w:rsid w:val="005C1B56"/>
    <w:rsid w:val="005F0E22"/>
    <w:rsid w:val="00636D64"/>
    <w:rsid w:val="00640B32"/>
    <w:rsid w:val="00661C78"/>
    <w:rsid w:val="00664BF4"/>
    <w:rsid w:val="0069647F"/>
    <w:rsid w:val="006B0092"/>
    <w:rsid w:val="006B63A9"/>
    <w:rsid w:val="006D1939"/>
    <w:rsid w:val="00755417"/>
    <w:rsid w:val="00757274"/>
    <w:rsid w:val="007937BD"/>
    <w:rsid w:val="007B3D28"/>
    <w:rsid w:val="007E39D8"/>
    <w:rsid w:val="007F1779"/>
    <w:rsid w:val="007F1941"/>
    <w:rsid w:val="00817A29"/>
    <w:rsid w:val="00817FC7"/>
    <w:rsid w:val="00826C07"/>
    <w:rsid w:val="00852F25"/>
    <w:rsid w:val="00857BD6"/>
    <w:rsid w:val="00862B99"/>
    <w:rsid w:val="008A0FE3"/>
    <w:rsid w:val="00910198"/>
    <w:rsid w:val="009152E8"/>
    <w:rsid w:val="009331EA"/>
    <w:rsid w:val="00933929"/>
    <w:rsid w:val="00934F79"/>
    <w:rsid w:val="009C58E5"/>
    <w:rsid w:val="009D2576"/>
    <w:rsid w:val="009F11E6"/>
    <w:rsid w:val="00A35E13"/>
    <w:rsid w:val="00A807E6"/>
    <w:rsid w:val="00A96DF3"/>
    <w:rsid w:val="00AE3B71"/>
    <w:rsid w:val="00B1303F"/>
    <w:rsid w:val="00B7603D"/>
    <w:rsid w:val="00B93C18"/>
    <w:rsid w:val="00BE7D71"/>
    <w:rsid w:val="00C12727"/>
    <w:rsid w:val="00C77735"/>
    <w:rsid w:val="00CA08C7"/>
    <w:rsid w:val="00CA1526"/>
    <w:rsid w:val="00CA7122"/>
    <w:rsid w:val="00CB061B"/>
    <w:rsid w:val="00CB77C4"/>
    <w:rsid w:val="00CC1B8A"/>
    <w:rsid w:val="00CD6CB9"/>
    <w:rsid w:val="00CE0355"/>
    <w:rsid w:val="00D35F8B"/>
    <w:rsid w:val="00D67BD2"/>
    <w:rsid w:val="00D91CCC"/>
    <w:rsid w:val="00D96846"/>
    <w:rsid w:val="00DB066B"/>
    <w:rsid w:val="00DF748B"/>
    <w:rsid w:val="00E33058"/>
    <w:rsid w:val="00E713B3"/>
    <w:rsid w:val="00EC7C24"/>
    <w:rsid w:val="00EF11DC"/>
    <w:rsid w:val="00F212A9"/>
    <w:rsid w:val="00F268BF"/>
    <w:rsid w:val="00F608DA"/>
    <w:rsid w:val="00F64E93"/>
    <w:rsid w:val="00FA5022"/>
    <w:rsid w:val="00FB106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1725"/>
  <w15:chartTrackingRefBased/>
  <w15:docId w15:val="{718971F6-D6E5-CB4E-B982-7386155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64"/>
  </w:style>
  <w:style w:type="paragraph" w:styleId="Heading1">
    <w:name w:val="heading 1"/>
    <w:basedOn w:val="Normal"/>
    <w:next w:val="Normal"/>
    <w:link w:val="Heading1Char"/>
    <w:uiPriority w:val="9"/>
    <w:qFormat/>
    <w:rsid w:val="00636D64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64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40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4A0EF3"/>
    <w:pPr>
      <w:numPr>
        <w:numId w:val="1"/>
      </w:numPr>
    </w:pPr>
    <w:rPr>
      <w:color w:val="000000" w:themeColor="text1"/>
      <w:szCs w:val="20"/>
    </w:rPr>
  </w:style>
  <w:style w:type="paragraph" w:styleId="ListParagraph">
    <w:name w:val="List Paragraph"/>
    <w:basedOn w:val="Normal"/>
    <w:autoRedefine/>
    <w:uiPriority w:val="34"/>
    <w:qFormat/>
    <w:rsid w:val="005F0E22"/>
    <w:pPr>
      <w:numPr>
        <w:numId w:val="6"/>
      </w:numPr>
      <w:spacing w:before="60" w:after="6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6D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64"/>
    <w:rPr>
      <w:rFonts w:eastAsiaTheme="majorEastAsia" w:cstheme="majorBidi"/>
      <w:b/>
      <w:szCs w:val="26"/>
    </w:rPr>
  </w:style>
  <w:style w:type="paragraph" w:styleId="Title">
    <w:name w:val="Title"/>
    <w:basedOn w:val="Normal"/>
    <w:link w:val="TitleChar"/>
    <w:qFormat/>
    <w:rsid w:val="00636D64"/>
    <w:pPr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32"/>
    </w:rPr>
  </w:style>
  <w:style w:type="character" w:customStyle="1" w:styleId="TitleChar">
    <w:name w:val="Title Char"/>
    <w:basedOn w:val="DefaultParagraphFont"/>
    <w:link w:val="Title"/>
    <w:rsid w:val="00636D64"/>
    <w:rPr>
      <w:rFonts w:ascii="Times New Roman" w:eastAsia="Times New Roman" w:hAnsi="Times New Roman" w:cs="Times New Roman"/>
      <w:b/>
      <w:bCs/>
      <w:color w:val="000080"/>
      <w:szCs w:val="32"/>
    </w:rPr>
  </w:style>
  <w:style w:type="character" w:styleId="Strong">
    <w:name w:val="Strong"/>
    <w:uiPriority w:val="22"/>
    <w:qFormat/>
    <w:rsid w:val="00636D64"/>
    <w:rPr>
      <w:b/>
      <w:bCs/>
    </w:rPr>
  </w:style>
  <w:style w:type="character" w:styleId="Emphasis">
    <w:name w:val="Emphasis"/>
    <w:uiPriority w:val="20"/>
    <w:qFormat/>
    <w:rsid w:val="00636D64"/>
    <w:rPr>
      <w:i/>
      <w:iCs/>
    </w:rPr>
  </w:style>
  <w:style w:type="paragraph" w:styleId="NoSpacing">
    <w:name w:val="No Spacing"/>
    <w:uiPriority w:val="1"/>
    <w:qFormat/>
    <w:rsid w:val="00636D64"/>
  </w:style>
  <w:style w:type="paragraph" w:styleId="FootnoteText">
    <w:name w:val="footnote text"/>
    <w:basedOn w:val="Normal"/>
    <w:link w:val="FootnoteTextChar"/>
    <w:uiPriority w:val="99"/>
    <w:semiHidden/>
    <w:unhideWhenUsed/>
    <w:rsid w:val="007F1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9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6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8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E6"/>
  </w:style>
  <w:style w:type="paragraph" w:styleId="Footer">
    <w:name w:val="footer"/>
    <w:basedOn w:val="Normal"/>
    <w:link w:val="FooterChar"/>
    <w:uiPriority w:val="99"/>
    <w:unhideWhenUsed/>
    <w:rsid w:val="009F1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ngc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Christopher King</cp:lastModifiedBy>
  <cp:revision>21</cp:revision>
  <dcterms:created xsi:type="dcterms:W3CDTF">2023-06-21T00:57:00Z</dcterms:created>
  <dcterms:modified xsi:type="dcterms:W3CDTF">2023-08-29T12:45:00Z</dcterms:modified>
</cp:coreProperties>
</file>